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3A0E" w14:textId="773A9E3F" w:rsidR="2920B21B" w:rsidRDefault="00193BE7">
      <w:r>
        <w:rPr>
          <w:noProof/>
        </w:rPr>
        <w:drawing>
          <wp:anchor distT="0" distB="0" distL="114300" distR="114300" simplePos="0" relativeHeight="251659264" behindDoc="0" locked="0" layoutInCell="1" allowOverlap="1" wp14:anchorId="1ED5C2DC" wp14:editId="46A7D118">
            <wp:simplePos x="0" y="0"/>
            <wp:positionH relativeFrom="margin">
              <wp:align>center</wp:align>
            </wp:positionH>
            <wp:positionV relativeFrom="paragraph">
              <wp:posOffset>9525</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6656B" w14:textId="01894F04" w:rsidR="005A7AD8" w:rsidRPr="00B64056" w:rsidRDefault="00C06EDB" w:rsidP="4181B624">
      <w:pPr>
        <w:pStyle w:val="Titel"/>
        <w:spacing w:after="0"/>
        <w:rPr>
          <w:rFonts w:ascii="Verdana" w:hAnsi="Verdana"/>
          <w:color w:val="89BE35"/>
          <w:sz w:val="36"/>
          <w:szCs w:val="36"/>
        </w:rPr>
      </w:pPr>
      <w:r w:rsidRPr="4181B624">
        <w:rPr>
          <w:rFonts w:ascii="Verdana" w:hAnsi="Verdana"/>
          <w:color w:val="89BE35"/>
          <w:sz w:val="36"/>
          <w:szCs w:val="36"/>
        </w:rPr>
        <w:t xml:space="preserve">Bijlage </w:t>
      </w:r>
      <w:r w:rsidR="00090CB0" w:rsidRPr="4181B624">
        <w:rPr>
          <w:rFonts w:ascii="Verdana" w:hAnsi="Verdana"/>
          <w:color w:val="89BE35"/>
          <w:sz w:val="36"/>
          <w:szCs w:val="36"/>
        </w:rPr>
        <w:t>Be</w:t>
      </w:r>
      <w:r w:rsidR="00667023">
        <w:rPr>
          <w:rFonts w:ascii="Verdana" w:hAnsi="Verdana"/>
          <w:color w:val="89BE35"/>
          <w:sz w:val="36"/>
          <w:szCs w:val="36"/>
        </w:rPr>
        <w:t>zuining</w:t>
      </w:r>
      <w:r w:rsidR="00090CB0" w:rsidRPr="4181B624">
        <w:rPr>
          <w:rFonts w:ascii="Verdana" w:hAnsi="Verdana"/>
          <w:color w:val="89BE35"/>
          <w:sz w:val="36"/>
          <w:szCs w:val="36"/>
        </w:rPr>
        <w:t>s</w:t>
      </w:r>
      <w:r w:rsidR="00E037BB">
        <w:rPr>
          <w:rFonts w:ascii="Verdana" w:hAnsi="Verdana"/>
          <w:color w:val="89BE35"/>
          <w:sz w:val="36"/>
          <w:szCs w:val="36"/>
        </w:rPr>
        <w:t>s</w:t>
      </w:r>
      <w:r w:rsidR="00090CB0" w:rsidRPr="4181B624">
        <w:rPr>
          <w:rFonts w:ascii="Verdana" w:hAnsi="Verdana"/>
          <w:color w:val="89BE35"/>
          <w:sz w:val="36"/>
          <w:szCs w:val="36"/>
        </w:rPr>
        <w:t>cenario</w:t>
      </w:r>
      <w:r w:rsidRPr="4181B624">
        <w:rPr>
          <w:rFonts w:ascii="Verdana" w:hAnsi="Verdana"/>
          <w:color w:val="89BE35"/>
          <w:sz w:val="36"/>
          <w:szCs w:val="36"/>
        </w:rPr>
        <w:t>’s 3% &amp; 5%</w:t>
      </w:r>
    </w:p>
    <w:p w14:paraId="17247558" w14:textId="77777777" w:rsidR="005A7AD8" w:rsidRDefault="005A7AD8" w:rsidP="000E1043">
      <w:pPr>
        <w:spacing w:after="0" w:line="240" w:lineRule="auto"/>
        <w:contextualSpacing/>
        <w:rPr>
          <w:rFonts w:ascii="Verdana" w:hAnsi="Verdana"/>
          <w:b/>
          <w:bCs/>
          <w:sz w:val="18"/>
          <w:szCs w:val="18"/>
        </w:rPr>
      </w:pPr>
    </w:p>
    <w:p w14:paraId="0C0A9F64" w14:textId="0F002D77" w:rsidR="00A13C02" w:rsidRDefault="4D064360" w:rsidP="011715BE">
      <w:pPr>
        <w:spacing w:after="0" w:line="240" w:lineRule="auto"/>
        <w:contextualSpacing/>
        <w:rPr>
          <w:rFonts w:ascii="Verdana" w:hAnsi="Verdana" w:cs="Arial"/>
          <w:b/>
          <w:bCs/>
          <w:sz w:val="18"/>
          <w:szCs w:val="18"/>
        </w:rPr>
      </w:pPr>
      <w:r w:rsidRPr="011715BE">
        <w:rPr>
          <w:rFonts w:ascii="Verdana" w:hAnsi="Verdana" w:cs="Arial"/>
          <w:b/>
          <w:bCs/>
          <w:sz w:val="18"/>
          <w:szCs w:val="18"/>
        </w:rPr>
        <w:t>Invulling geven aan het verzoek van de Regietafel</w:t>
      </w:r>
    </w:p>
    <w:p w14:paraId="45F1C17D" w14:textId="77777777" w:rsidR="00A13C02" w:rsidRDefault="4D064360" w:rsidP="011715BE">
      <w:pPr>
        <w:spacing w:after="0" w:line="240" w:lineRule="auto"/>
        <w:contextualSpacing/>
        <w:rPr>
          <w:rFonts w:ascii="Verdana" w:hAnsi="Verdana" w:cs="Arial"/>
          <w:sz w:val="18"/>
          <w:szCs w:val="18"/>
        </w:rPr>
      </w:pPr>
      <w:r w:rsidRPr="011715BE">
        <w:rPr>
          <w:rFonts w:ascii="Verdana" w:hAnsi="Verdana" w:cs="Arial"/>
          <w:sz w:val="18"/>
          <w:szCs w:val="18"/>
        </w:rPr>
        <w:t>De regietafel heeft de volgende bezuinigingsrichtlijn in de brief van 5 juli 2024 opgenomen:</w:t>
      </w:r>
    </w:p>
    <w:p w14:paraId="3A916FB8" w14:textId="3C9B6C5B" w:rsidR="00A13C02" w:rsidRDefault="4D064360" w:rsidP="011715BE">
      <w:pPr>
        <w:pStyle w:val="Lijstalinea"/>
        <w:numPr>
          <w:ilvl w:val="0"/>
          <w:numId w:val="4"/>
        </w:numPr>
        <w:spacing w:after="0" w:line="240" w:lineRule="auto"/>
        <w:rPr>
          <w:rFonts w:ascii="Verdana" w:hAnsi="Verdana" w:cs="Arial"/>
          <w:sz w:val="18"/>
          <w:szCs w:val="18"/>
        </w:rPr>
      </w:pPr>
      <w:r w:rsidRPr="011715BE">
        <w:rPr>
          <w:rFonts w:ascii="Verdana" w:hAnsi="Verdana" w:cs="Arial"/>
          <w:sz w:val="18"/>
          <w:szCs w:val="18"/>
        </w:rPr>
        <w:t xml:space="preserve">Alle gemeenschappelijke regelingen ontwerpen twee scenario’s, uitgaande van een structurele bezuiniging van 3% en 5% op de </w:t>
      </w:r>
      <w:r w:rsidRPr="011715BE">
        <w:rPr>
          <w:rFonts w:ascii="Verdana" w:hAnsi="Verdana" w:cs="Arial"/>
          <w:i/>
          <w:iCs/>
          <w:sz w:val="18"/>
          <w:szCs w:val="18"/>
        </w:rPr>
        <w:t xml:space="preserve">gemeentelijke </w:t>
      </w:r>
      <w:r w:rsidRPr="011715BE">
        <w:rPr>
          <w:rFonts w:ascii="Verdana" w:hAnsi="Verdana" w:cs="Arial"/>
          <w:sz w:val="18"/>
          <w:szCs w:val="18"/>
        </w:rPr>
        <w:t xml:space="preserve">bijdrage 2026. </w:t>
      </w:r>
    </w:p>
    <w:p w14:paraId="7BAD9B61" w14:textId="45D6A823" w:rsidR="00A13C02" w:rsidRDefault="4D064360" w:rsidP="011715BE">
      <w:pPr>
        <w:pStyle w:val="Lijstalinea"/>
        <w:numPr>
          <w:ilvl w:val="0"/>
          <w:numId w:val="4"/>
        </w:numPr>
        <w:spacing w:after="0" w:line="240" w:lineRule="auto"/>
        <w:rPr>
          <w:rFonts w:ascii="Verdana" w:hAnsi="Verdana" w:cs="Arial"/>
          <w:sz w:val="18"/>
          <w:szCs w:val="18"/>
        </w:rPr>
      </w:pPr>
      <w:r w:rsidRPr="011715BE">
        <w:rPr>
          <w:rFonts w:ascii="Verdana" w:hAnsi="Verdana" w:cs="Arial"/>
          <w:sz w:val="18"/>
          <w:szCs w:val="18"/>
        </w:rPr>
        <w:t xml:space="preserve">Hierbij kan gebruik worden gemaakt van een vierdeling : </w:t>
      </w:r>
    </w:p>
    <w:p w14:paraId="58C769C8" w14:textId="77777777" w:rsidR="00A13C02" w:rsidRDefault="4D064360" w:rsidP="011715BE">
      <w:pPr>
        <w:spacing w:after="0" w:line="240" w:lineRule="auto"/>
        <w:ind w:firstLine="708"/>
        <w:contextualSpacing/>
        <w:rPr>
          <w:rFonts w:ascii="Verdana" w:hAnsi="Verdana" w:cs="Arial"/>
          <w:sz w:val="18"/>
          <w:szCs w:val="18"/>
        </w:rPr>
      </w:pPr>
      <w:r w:rsidRPr="011715BE">
        <w:rPr>
          <w:rFonts w:ascii="Verdana" w:hAnsi="Verdana" w:cs="Arial"/>
          <w:sz w:val="18"/>
          <w:szCs w:val="18"/>
        </w:rPr>
        <w:t xml:space="preserve">-Wettelijke taken – kan niet op taakniveau worden bezuinigd; </w:t>
      </w:r>
    </w:p>
    <w:p w14:paraId="09962B6F" w14:textId="6F917193" w:rsidR="00A13C02" w:rsidRDefault="4D064360" w:rsidP="011715BE">
      <w:pPr>
        <w:spacing w:after="0" w:line="240" w:lineRule="auto"/>
        <w:ind w:left="708"/>
        <w:contextualSpacing/>
        <w:rPr>
          <w:rFonts w:ascii="Verdana" w:hAnsi="Verdana" w:cs="Arial"/>
          <w:sz w:val="18"/>
          <w:szCs w:val="18"/>
        </w:rPr>
      </w:pPr>
      <w:r w:rsidRPr="011715BE">
        <w:rPr>
          <w:rFonts w:ascii="Verdana" w:hAnsi="Verdana" w:cs="Arial"/>
          <w:sz w:val="18"/>
          <w:szCs w:val="18"/>
        </w:rPr>
        <w:t xml:space="preserve">-Taken waar niet op kan worden bezuinigd zonder ernstige impact (impact kan organisatorisch, operationeel, maatschappelijk, imago, financieel -waaronder frictiekosten- enz. zijn. Dit zal voor elke gemeenschappelijke regeling verschillend zijn); </w:t>
      </w:r>
    </w:p>
    <w:p w14:paraId="3222B418" w14:textId="1C6A1853" w:rsidR="00A13C02" w:rsidRDefault="4D064360" w:rsidP="011715BE">
      <w:pPr>
        <w:spacing w:after="0" w:line="240" w:lineRule="auto"/>
        <w:ind w:firstLine="708"/>
        <w:contextualSpacing/>
        <w:rPr>
          <w:rFonts w:ascii="Verdana" w:hAnsi="Verdana" w:cs="Arial"/>
          <w:sz w:val="18"/>
          <w:szCs w:val="18"/>
        </w:rPr>
      </w:pPr>
      <w:r w:rsidRPr="011715BE">
        <w:rPr>
          <w:rFonts w:ascii="Verdana" w:hAnsi="Verdana" w:cs="Arial"/>
          <w:sz w:val="18"/>
          <w:szCs w:val="18"/>
        </w:rPr>
        <w:t xml:space="preserve">-Taken waarop eventueel kan worden bezuinigd, met beperkte impact; </w:t>
      </w:r>
    </w:p>
    <w:p w14:paraId="0C75D5D6" w14:textId="407EE943" w:rsidR="00A13C02" w:rsidRDefault="4D064360" w:rsidP="011715BE">
      <w:pPr>
        <w:spacing w:after="0" w:line="240" w:lineRule="auto"/>
        <w:ind w:left="708"/>
        <w:contextualSpacing/>
        <w:rPr>
          <w:rFonts w:ascii="Verdana" w:hAnsi="Verdana" w:cs="Arial"/>
          <w:sz w:val="18"/>
          <w:szCs w:val="18"/>
        </w:rPr>
      </w:pPr>
      <w:r w:rsidRPr="011715BE">
        <w:rPr>
          <w:rFonts w:ascii="Verdana" w:hAnsi="Verdana" w:cs="Arial"/>
          <w:sz w:val="18"/>
          <w:szCs w:val="18"/>
        </w:rPr>
        <w:t xml:space="preserve">-Bezuinigingen door efficiency, beter organiseren (onderdeel van plan -do-check-act, lage impact). </w:t>
      </w:r>
    </w:p>
    <w:p w14:paraId="14FE5E9B" w14:textId="38264031" w:rsidR="00A13C02" w:rsidRDefault="00A13C02" w:rsidP="011715BE">
      <w:pPr>
        <w:pStyle w:val="Lijstalinea"/>
        <w:spacing w:after="0" w:line="240" w:lineRule="auto"/>
        <w:rPr>
          <w:rFonts w:ascii="Verdana" w:hAnsi="Verdana" w:cs="Arial"/>
          <w:sz w:val="18"/>
          <w:szCs w:val="18"/>
        </w:rPr>
      </w:pPr>
    </w:p>
    <w:p w14:paraId="26D58E72" w14:textId="22741758" w:rsidR="00A13C02" w:rsidRDefault="4D064360" w:rsidP="011715BE">
      <w:pPr>
        <w:spacing w:after="0" w:line="240" w:lineRule="auto"/>
        <w:contextualSpacing/>
        <w:rPr>
          <w:rFonts w:ascii="Verdana" w:hAnsi="Verdana" w:cs="Arial"/>
        </w:rPr>
      </w:pPr>
      <w:r w:rsidRPr="011715BE">
        <w:rPr>
          <w:rFonts w:ascii="Verdana" w:hAnsi="Verdana" w:cs="Arial"/>
          <w:sz w:val="18"/>
          <w:szCs w:val="18"/>
        </w:rPr>
        <w:t>Het staat elke gemeenschappelijke regeling vrij om de wijze van uitwerking organisatie-specifiek te maken. Het zijn immers allemaal verschillende gemeenschappelijke regelingen qua omvang en missie. Voor zowel de 3% als 5% scenario’s is aangegeven wat de effecten zullen zijn, op het niveau van taken en impact.</w:t>
      </w:r>
    </w:p>
    <w:p w14:paraId="08A4899E" w14:textId="231E6984" w:rsidR="00A13C02" w:rsidRDefault="00A13C02" w:rsidP="011715BE">
      <w:pPr>
        <w:pStyle w:val="Lijstalinea"/>
        <w:spacing w:after="0" w:line="240" w:lineRule="auto"/>
        <w:rPr>
          <w:rFonts w:ascii="Verdana" w:hAnsi="Verdana" w:cs="Arial"/>
          <w:sz w:val="18"/>
          <w:szCs w:val="18"/>
        </w:rPr>
      </w:pPr>
    </w:p>
    <w:p w14:paraId="17DCC827" w14:textId="4D8A0BED" w:rsidR="00A13C02" w:rsidRDefault="66499916" w:rsidP="00A13C02">
      <w:pPr>
        <w:spacing w:after="0" w:line="240" w:lineRule="auto"/>
        <w:rPr>
          <w:rFonts w:ascii="Verdana" w:hAnsi="Verdana"/>
          <w:b/>
          <w:bCs/>
          <w:sz w:val="18"/>
          <w:szCs w:val="18"/>
        </w:rPr>
      </w:pPr>
      <w:r w:rsidRPr="011715BE">
        <w:rPr>
          <w:rFonts w:ascii="Verdana" w:hAnsi="Verdana"/>
          <w:b/>
          <w:bCs/>
          <w:sz w:val="18"/>
          <w:szCs w:val="18"/>
        </w:rPr>
        <w:t>Vertaling naar een 2 scenario's voor de OD NHN</w:t>
      </w:r>
    </w:p>
    <w:p w14:paraId="0BF73632" w14:textId="6F4BE379" w:rsidR="00A13C02" w:rsidRDefault="00A13C02" w:rsidP="00A13C02">
      <w:pPr>
        <w:spacing w:after="0" w:line="240" w:lineRule="auto"/>
        <w:contextualSpacing/>
        <w:rPr>
          <w:rFonts w:ascii="Verdana" w:hAnsi="Verdana"/>
          <w:sz w:val="18"/>
          <w:szCs w:val="18"/>
        </w:rPr>
      </w:pPr>
      <w:r w:rsidRPr="00795D79">
        <w:rPr>
          <w:rFonts w:ascii="Verdana" w:hAnsi="Verdana"/>
          <w:sz w:val="18"/>
          <w:szCs w:val="18"/>
        </w:rPr>
        <w:t>Een besparing in de begroting van 2026 van 3% en 5%</w:t>
      </w:r>
      <w:r w:rsidR="2C89EF35" w:rsidRPr="00795D79">
        <w:rPr>
          <w:rFonts w:ascii="Verdana" w:hAnsi="Verdana"/>
          <w:sz w:val="18"/>
          <w:szCs w:val="18"/>
        </w:rPr>
        <w:t xml:space="preserve"> op de gemeentelijke bijdrage</w:t>
      </w:r>
      <w:r w:rsidRPr="00795D79">
        <w:rPr>
          <w:rFonts w:ascii="Verdana" w:hAnsi="Verdana"/>
          <w:sz w:val="18"/>
          <w:szCs w:val="18"/>
        </w:rPr>
        <w:t xml:space="preserve"> staat respectievelijk gelijk aan € 596.000 en € 992.000</w:t>
      </w:r>
      <w:r w:rsidRPr="00795D79">
        <w:rPr>
          <w:rStyle w:val="Voetnootmarkering"/>
          <w:rFonts w:ascii="Verdana" w:hAnsi="Verdana"/>
          <w:sz w:val="18"/>
          <w:szCs w:val="18"/>
        </w:rPr>
        <w:footnoteReference w:id="2"/>
      </w:r>
      <w:r w:rsidRPr="00795D79">
        <w:rPr>
          <w:rFonts w:ascii="Verdana" w:hAnsi="Verdana"/>
          <w:sz w:val="18"/>
          <w:szCs w:val="18"/>
        </w:rPr>
        <w:t xml:space="preserve">. </w:t>
      </w:r>
      <w:r w:rsidR="2E9E8600" w:rsidRPr="00795D79">
        <w:rPr>
          <w:rFonts w:ascii="Verdana" w:hAnsi="Verdana"/>
          <w:sz w:val="18"/>
          <w:szCs w:val="18"/>
        </w:rPr>
        <w:t xml:space="preserve">Hierop is een aantal mogelijke besparingsmaatregelen in beeld gebracht. </w:t>
      </w:r>
      <w:r w:rsidRPr="00795D79">
        <w:rPr>
          <w:rFonts w:ascii="Verdana" w:hAnsi="Verdana"/>
          <w:sz w:val="18"/>
          <w:szCs w:val="18"/>
        </w:rPr>
        <w:t xml:space="preserve">In onderstaande tabel is </w:t>
      </w:r>
      <w:r>
        <w:rPr>
          <w:rFonts w:ascii="Verdana" w:hAnsi="Verdana"/>
          <w:sz w:val="18"/>
          <w:szCs w:val="18"/>
        </w:rPr>
        <w:t xml:space="preserve">met een x </w:t>
      </w:r>
      <w:r w:rsidRPr="00795D79">
        <w:rPr>
          <w:rFonts w:ascii="Verdana" w:hAnsi="Verdana"/>
          <w:sz w:val="18"/>
          <w:szCs w:val="18"/>
        </w:rPr>
        <w:t xml:space="preserve">gespecificeerd welke besparingsmaatregelen in de scenario’s zijn opgenomen, waarbij de kleur de mate van impact aangeeft. De besparingsmaatregelen met </w:t>
      </w:r>
      <w:r w:rsidRPr="00AF6BE4">
        <w:rPr>
          <w:rFonts w:ascii="Verdana" w:hAnsi="Verdana"/>
          <w:sz w:val="18"/>
          <w:szCs w:val="18"/>
        </w:rPr>
        <w:t xml:space="preserve">impact </w:t>
      </w:r>
      <w:r w:rsidRPr="00AF6BE4">
        <w:rPr>
          <w:rFonts w:ascii="Verdana" w:hAnsi="Verdana"/>
          <w:color w:val="00B0F0"/>
          <w:sz w:val="18"/>
          <w:szCs w:val="18"/>
        </w:rPr>
        <w:t>4</w:t>
      </w:r>
      <w:r w:rsidRPr="00AF6BE4">
        <w:rPr>
          <w:rFonts w:ascii="Verdana" w:hAnsi="Verdana"/>
          <w:sz w:val="18"/>
          <w:szCs w:val="18"/>
        </w:rPr>
        <w:t>,</w:t>
      </w:r>
      <w:r>
        <w:rPr>
          <w:rFonts w:ascii="Verdana" w:hAnsi="Verdana"/>
          <w:sz w:val="18"/>
          <w:szCs w:val="18"/>
        </w:rPr>
        <w:t xml:space="preserve"> </w:t>
      </w:r>
      <w:r w:rsidRPr="00AF6BE4">
        <w:rPr>
          <w:rFonts w:ascii="Verdana" w:hAnsi="Verdana"/>
          <w:color w:val="00B050"/>
          <w:sz w:val="18"/>
          <w:szCs w:val="18"/>
        </w:rPr>
        <w:t>3</w:t>
      </w:r>
      <w:r w:rsidRPr="00AF6BE4">
        <w:rPr>
          <w:rFonts w:ascii="Verdana" w:hAnsi="Verdana"/>
          <w:sz w:val="18"/>
          <w:szCs w:val="18"/>
        </w:rPr>
        <w:t xml:space="preserve"> en </w:t>
      </w:r>
      <w:r w:rsidRPr="00AF6BE4">
        <w:rPr>
          <w:rFonts w:ascii="Verdana" w:hAnsi="Verdana"/>
          <w:color w:val="FFC000"/>
          <w:sz w:val="18"/>
          <w:szCs w:val="18"/>
        </w:rPr>
        <w:t>2</w:t>
      </w:r>
      <w:r w:rsidRPr="00795D79">
        <w:rPr>
          <w:rFonts w:ascii="Verdana" w:hAnsi="Verdana"/>
          <w:sz w:val="18"/>
          <w:szCs w:val="18"/>
        </w:rPr>
        <w:t xml:space="preserve"> zijn zowel toegekend aan de 3% </w:t>
      </w:r>
      <w:r w:rsidR="46E3196F" w:rsidRPr="00795D79">
        <w:rPr>
          <w:rFonts w:ascii="Verdana" w:hAnsi="Verdana"/>
          <w:sz w:val="18"/>
          <w:szCs w:val="18"/>
        </w:rPr>
        <w:t>als de</w:t>
      </w:r>
      <w:r w:rsidRPr="00795D79">
        <w:rPr>
          <w:rFonts w:ascii="Verdana" w:hAnsi="Verdana"/>
          <w:sz w:val="18"/>
          <w:szCs w:val="18"/>
        </w:rPr>
        <w:t xml:space="preserve"> 5% scenario’s. Om tot een 3% besparing te komen is aanvullend de </w:t>
      </w:r>
      <w:r w:rsidR="08734434" w:rsidRPr="00795D79">
        <w:rPr>
          <w:rFonts w:ascii="Verdana" w:hAnsi="Verdana"/>
          <w:sz w:val="18"/>
          <w:szCs w:val="18"/>
        </w:rPr>
        <w:t>‘</w:t>
      </w:r>
      <w:r w:rsidRPr="00795D79">
        <w:rPr>
          <w:rFonts w:ascii="Verdana" w:hAnsi="Verdana"/>
          <w:sz w:val="18"/>
          <w:szCs w:val="18"/>
        </w:rPr>
        <w:t>hoog risico</w:t>
      </w:r>
      <w:r w:rsidR="1157B4D5" w:rsidRPr="00795D79">
        <w:rPr>
          <w:rFonts w:ascii="Verdana" w:hAnsi="Verdana"/>
          <w:sz w:val="18"/>
          <w:szCs w:val="18"/>
        </w:rPr>
        <w:t>’</w:t>
      </w:r>
      <w:r w:rsidRPr="00795D79">
        <w:rPr>
          <w:rFonts w:ascii="Verdana" w:hAnsi="Verdana"/>
          <w:sz w:val="18"/>
          <w:szCs w:val="18"/>
        </w:rPr>
        <w:t xml:space="preserve"> besparingsmaatregel </w:t>
      </w:r>
      <w:r>
        <w:rPr>
          <w:rFonts w:ascii="Verdana" w:hAnsi="Verdana"/>
          <w:sz w:val="18"/>
          <w:szCs w:val="18"/>
        </w:rPr>
        <w:t xml:space="preserve">met impact </w:t>
      </w:r>
      <w:r w:rsidRPr="00AF6BE4">
        <w:rPr>
          <w:rFonts w:ascii="Verdana" w:hAnsi="Verdana"/>
          <w:color w:val="FF0000"/>
          <w:sz w:val="18"/>
          <w:szCs w:val="18"/>
        </w:rPr>
        <w:t>1</w:t>
      </w:r>
      <w:r>
        <w:rPr>
          <w:rFonts w:ascii="Verdana" w:hAnsi="Verdana"/>
          <w:sz w:val="18"/>
          <w:szCs w:val="18"/>
        </w:rPr>
        <w:t xml:space="preserve"> </w:t>
      </w:r>
      <w:r w:rsidRPr="00795D79">
        <w:rPr>
          <w:rFonts w:ascii="Verdana" w:hAnsi="Verdana"/>
          <w:sz w:val="18"/>
          <w:szCs w:val="18"/>
        </w:rPr>
        <w:t xml:space="preserve">‘Meldingen (deels) administratief afdoen’ toegevoegd. Alle overige </w:t>
      </w:r>
      <w:r w:rsidR="3CA91FA2" w:rsidRPr="00795D79">
        <w:rPr>
          <w:rFonts w:ascii="Verdana" w:hAnsi="Verdana"/>
          <w:sz w:val="18"/>
          <w:szCs w:val="18"/>
        </w:rPr>
        <w:t>‘</w:t>
      </w:r>
      <w:r w:rsidRPr="00795D79">
        <w:rPr>
          <w:rFonts w:ascii="Verdana" w:hAnsi="Verdana"/>
          <w:sz w:val="18"/>
          <w:szCs w:val="18"/>
        </w:rPr>
        <w:t>hoog risico</w:t>
      </w:r>
      <w:r w:rsidR="31F1E7CD" w:rsidRPr="00795D79">
        <w:rPr>
          <w:rFonts w:ascii="Verdana" w:hAnsi="Verdana"/>
          <w:sz w:val="18"/>
          <w:szCs w:val="18"/>
        </w:rPr>
        <w:t>’</w:t>
      </w:r>
      <w:r w:rsidRPr="00795D79">
        <w:rPr>
          <w:rFonts w:ascii="Verdana" w:hAnsi="Verdana"/>
          <w:sz w:val="18"/>
          <w:szCs w:val="18"/>
        </w:rPr>
        <w:t xml:space="preserve"> en </w:t>
      </w:r>
      <w:r w:rsidR="434E5E81" w:rsidRPr="00795D79">
        <w:rPr>
          <w:rFonts w:ascii="Verdana" w:hAnsi="Verdana"/>
          <w:sz w:val="18"/>
          <w:szCs w:val="18"/>
        </w:rPr>
        <w:t>‘</w:t>
      </w:r>
      <w:r w:rsidRPr="00795D79">
        <w:rPr>
          <w:rFonts w:ascii="Verdana" w:hAnsi="Verdana"/>
          <w:sz w:val="18"/>
          <w:szCs w:val="18"/>
        </w:rPr>
        <w:t>impactvolle</w:t>
      </w:r>
      <w:r w:rsidR="3C1B15E7" w:rsidRPr="00795D79">
        <w:rPr>
          <w:rFonts w:ascii="Verdana" w:hAnsi="Verdana"/>
          <w:sz w:val="18"/>
          <w:szCs w:val="18"/>
        </w:rPr>
        <w:t>’</w:t>
      </w:r>
      <w:r w:rsidRPr="00795D79">
        <w:rPr>
          <w:rFonts w:ascii="Verdana" w:hAnsi="Verdana"/>
          <w:sz w:val="18"/>
          <w:szCs w:val="18"/>
        </w:rPr>
        <w:t xml:space="preserve"> besparingsmaatregelen zijn tevens onderdeel van de set van voorgestelde besparingsmaatregelen om aan de 5% criteria te kunnen voldoen.</w:t>
      </w:r>
    </w:p>
    <w:p w14:paraId="1DF9049D" w14:textId="77777777" w:rsidR="00A13C02" w:rsidRDefault="00A13C02" w:rsidP="00A13C02">
      <w:pPr>
        <w:spacing w:after="0" w:line="240" w:lineRule="auto"/>
        <w:contextualSpacing/>
        <w:rPr>
          <w:rFonts w:ascii="Verdana" w:hAnsi="Verdana"/>
          <w:sz w:val="18"/>
          <w:szCs w:val="18"/>
        </w:rPr>
      </w:pPr>
    </w:p>
    <w:tbl>
      <w:tblPr>
        <w:tblStyle w:val="Tabelraster"/>
        <w:tblW w:w="9204" w:type="dxa"/>
        <w:tblLook w:val="04A0" w:firstRow="1" w:lastRow="0" w:firstColumn="1" w:lastColumn="0" w:noHBand="0" w:noVBand="1"/>
      </w:tblPr>
      <w:tblGrid>
        <w:gridCol w:w="638"/>
        <w:gridCol w:w="4826"/>
        <w:gridCol w:w="1302"/>
        <w:gridCol w:w="1179"/>
        <w:gridCol w:w="1259"/>
      </w:tblGrid>
      <w:tr w:rsidR="00A13C02" w:rsidRPr="00EE69F8" w14:paraId="034118C4" w14:textId="77777777" w:rsidTr="006030E3">
        <w:tc>
          <w:tcPr>
            <w:tcW w:w="640" w:type="dxa"/>
            <w:shd w:val="clear" w:color="auto" w:fill="7030A0"/>
          </w:tcPr>
          <w:p w14:paraId="79EA2393" w14:textId="77777777" w:rsidR="00A13C02" w:rsidRPr="00EE69F8" w:rsidRDefault="00A13C02" w:rsidP="006030E3">
            <w:pPr>
              <w:rPr>
                <w:rFonts w:ascii="Verdana" w:hAnsi="Verdana"/>
                <w:color w:val="FFFFFF" w:themeColor="background1"/>
                <w:sz w:val="18"/>
                <w:szCs w:val="18"/>
              </w:rPr>
            </w:pPr>
            <w:r w:rsidRPr="00EE69F8">
              <w:rPr>
                <w:rFonts w:ascii="Verdana" w:hAnsi="Verdana"/>
                <w:color w:val="FFFFFF" w:themeColor="background1"/>
                <w:sz w:val="18"/>
                <w:szCs w:val="18"/>
              </w:rPr>
              <w:t>Nr</w:t>
            </w:r>
            <w:r>
              <w:rPr>
                <w:rFonts w:ascii="Verdana" w:hAnsi="Verdana"/>
                <w:color w:val="FFFFFF" w:themeColor="background1"/>
                <w:sz w:val="18"/>
                <w:szCs w:val="18"/>
              </w:rPr>
              <w:t>.</w:t>
            </w:r>
          </w:p>
        </w:tc>
        <w:tc>
          <w:tcPr>
            <w:tcW w:w="4860" w:type="dxa"/>
            <w:shd w:val="clear" w:color="auto" w:fill="7030A0"/>
          </w:tcPr>
          <w:p w14:paraId="2663B23E" w14:textId="77777777" w:rsidR="00A13C02" w:rsidRPr="00EE69F8" w:rsidRDefault="00A13C02" w:rsidP="006030E3">
            <w:pPr>
              <w:rPr>
                <w:rFonts w:ascii="Verdana" w:hAnsi="Verdana"/>
                <w:color w:val="FFFFFF" w:themeColor="background1"/>
                <w:sz w:val="18"/>
                <w:szCs w:val="18"/>
              </w:rPr>
            </w:pPr>
            <w:r w:rsidRPr="00EE69F8">
              <w:rPr>
                <w:rFonts w:ascii="Verdana" w:hAnsi="Verdana"/>
                <w:color w:val="FFFFFF" w:themeColor="background1"/>
                <w:sz w:val="18"/>
                <w:szCs w:val="18"/>
              </w:rPr>
              <w:t>Omschrijving besparingsmaatregel</w:t>
            </w:r>
          </w:p>
        </w:tc>
        <w:tc>
          <w:tcPr>
            <w:tcW w:w="1305" w:type="dxa"/>
            <w:shd w:val="clear" w:color="auto" w:fill="7030A0"/>
          </w:tcPr>
          <w:p w14:paraId="59B9C778" w14:textId="77777777" w:rsidR="00A13C02" w:rsidRPr="00EE69F8" w:rsidRDefault="00A13C02" w:rsidP="006030E3">
            <w:pPr>
              <w:jc w:val="center"/>
              <w:rPr>
                <w:rFonts w:ascii="Verdana" w:hAnsi="Verdana"/>
                <w:color w:val="FFFFFF" w:themeColor="background1"/>
                <w:sz w:val="18"/>
                <w:szCs w:val="18"/>
              </w:rPr>
            </w:pPr>
            <w:r w:rsidRPr="00EE69F8">
              <w:rPr>
                <w:rFonts w:ascii="Verdana" w:hAnsi="Verdana"/>
                <w:color w:val="FFFFFF" w:themeColor="background1"/>
                <w:sz w:val="18"/>
                <w:szCs w:val="18"/>
              </w:rPr>
              <w:t>3%</w:t>
            </w:r>
          </w:p>
        </w:tc>
        <w:tc>
          <w:tcPr>
            <w:tcW w:w="1180" w:type="dxa"/>
            <w:shd w:val="clear" w:color="auto" w:fill="7030A0"/>
          </w:tcPr>
          <w:p w14:paraId="4726235B" w14:textId="77777777" w:rsidR="00A13C02" w:rsidRPr="00EE69F8" w:rsidRDefault="00A13C02" w:rsidP="006030E3">
            <w:pPr>
              <w:jc w:val="center"/>
              <w:rPr>
                <w:rFonts w:ascii="Verdana" w:hAnsi="Verdana"/>
                <w:color w:val="FFFFFF" w:themeColor="background1"/>
                <w:sz w:val="18"/>
                <w:szCs w:val="18"/>
              </w:rPr>
            </w:pPr>
            <w:r w:rsidRPr="00EE69F8">
              <w:rPr>
                <w:rFonts w:ascii="Verdana" w:hAnsi="Verdana"/>
                <w:color w:val="FFFFFF" w:themeColor="background1"/>
                <w:sz w:val="18"/>
                <w:szCs w:val="18"/>
              </w:rPr>
              <w:t>5%</w:t>
            </w:r>
          </w:p>
        </w:tc>
        <w:tc>
          <w:tcPr>
            <w:tcW w:w="1219" w:type="dxa"/>
            <w:shd w:val="clear" w:color="auto" w:fill="7030A0"/>
          </w:tcPr>
          <w:p w14:paraId="1D272EF4" w14:textId="77777777" w:rsidR="00A13C02" w:rsidRPr="00EE69F8" w:rsidRDefault="00A13C02" w:rsidP="006030E3">
            <w:pPr>
              <w:jc w:val="center"/>
              <w:rPr>
                <w:rFonts w:ascii="Verdana" w:hAnsi="Verdana"/>
                <w:color w:val="FFFFFF" w:themeColor="background1"/>
                <w:sz w:val="18"/>
                <w:szCs w:val="18"/>
              </w:rPr>
            </w:pPr>
            <w:r>
              <w:rPr>
                <w:rFonts w:ascii="Verdana" w:hAnsi="Verdana"/>
                <w:color w:val="FFFFFF" w:themeColor="background1"/>
                <w:sz w:val="18"/>
                <w:szCs w:val="18"/>
              </w:rPr>
              <w:t>Voorstel besparing Gemeenten (€)</w:t>
            </w:r>
          </w:p>
        </w:tc>
      </w:tr>
      <w:tr w:rsidR="00A13C02" w14:paraId="3DF152CD" w14:textId="77777777" w:rsidTr="006030E3">
        <w:tc>
          <w:tcPr>
            <w:tcW w:w="640" w:type="dxa"/>
            <w:shd w:val="clear" w:color="auto" w:fill="00B0F0"/>
          </w:tcPr>
          <w:p w14:paraId="735FCDAC" w14:textId="77777777" w:rsidR="00A13C02" w:rsidRDefault="00A13C02" w:rsidP="006030E3">
            <w:pPr>
              <w:jc w:val="center"/>
              <w:rPr>
                <w:rFonts w:ascii="Verdana" w:hAnsi="Verdana"/>
                <w:sz w:val="18"/>
                <w:szCs w:val="18"/>
              </w:rPr>
            </w:pPr>
            <w:r>
              <w:rPr>
                <w:rFonts w:ascii="Verdana" w:hAnsi="Verdana"/>
                <w:sz w:val="18"/>
                <w:szCs w:val="18"/>
              </w:rPr>
              <w:t>1</w:t>
            </w:r>
          </w:p>
        </w:tc>
        <w:tc>
          <w:tcPr>
            <w:tcW w:w="4860" w:type="dxa"/>
            <w:shd w:val="clear" w:color="auto" w:fill="00B0F0"/>
          </w:tcPr>
          <w:p w14:paraId="3D6241B6" w14:textId="77777777" w:rsidR="00A13C02" w:rsidRDefault="00A13C02" w:rsidP="006030E3">
            <w:pPr>
              <w:rPr>
                <w:rFonts w:ascii="Verdana" w:hAnsi="Verdana"/>
                <w:sz w:val="18"/>
                <w:szCs w:val="18"/>
              </w:rPr>
            </w:pPr>
            <w:r>
              <w:rPr>
                <w:rFonts w:ascii="Verdana" w:hAnsi="Verdana"/>
                <w:sz w:val="18"/>
                <w:szCs w:val="18"/>
              </w:rPr>
              <w:t>Verminderen</w:t>
            </w:r>
            <w:r w:rsidRPr="00402997">
              <w:rPr>
                <w:rFonts w:ascii="Verdana" w:hAnsi="Verdana"/>
                <w:sz w:val="18"/>
                <w:szCs w:val="18"/>
              </w:rPr>
              <w:t xml:space="preserve"> personele en bestuurlijke voorzieningen en representatie</w:t>
            </w:r>
          </w:p>
        </w:tc>
        <w:tc>
          <w:tcPr>
            <w:tcW w:w="1305" w:type="dxa"/>
          </w:tcPr>
          <w:p w14:paraId="7D7FC831"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2A300147"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0EADD5D7" w14:textId="77777777" w:rsidR="00A13C02" w:rsidRDefault="00A13C02" w:rsidP="006030E3">
            <w:pPr>
              <w:jc w:val="center"/>
              <w:rPr>
                <w:rFonts w:ascii="Verdana" w:hAnsi="Verdana"/>
                <w:sz w:val="18"/>
                <w:szCs w:val="18"/>
              </w:rPr>
            </w:pPr>
            <w:r>
              <w:rPr>
                <w:rFonts w:ascii="Verdana" w:hAnsi="Verdana"/>
                <w:sz w:val="18"/>
                <w:szCs w:val="18"/>
              </w:rPr>
              <w:t>12.000</w:t>
            </w:r>
          </w:p>
        </w:tc>
      </w:tr>
      <w:tr w:rsidR="00A13C02" w14:paraId="22064982" w14:textId="77777777" w:rsidTr="006030E3">
        <w:tc>
          <w:tcPr>
            <w:tcW w:w="640" w:type="dxa"/>
            <w:shd w:val="clear" w:color="auto" w:fill="00B0F0"/>
          </w:tcPr>
          <w:p w14:paraId="6E025710" w14:textId="77777777" w:rsidR="00A13C02" w:rsidRDefault="00A13C02" w:rsidP="006030E3">
            <w:pPr>
              <w:jc w:val="center"/>
              <w:rPr>
                <w:rFonts w:ascii="Verdana" w:hAnsi="Verdana"/>
                <w:sz w:val="18"/>
                <w:szCs w:val="18"/>
              </w:rPr>
            </w:pPr>
            <w:r>
              <w:rPr>
                <w:rFonts w:ascii="Verdana" w:hAnsi="Verdana"/>
                <w:sz w:val="18"/>
                <w:szCs w:val="18"/>
              </w:rPr>
              <w:t>2</w:t>
            </w:r>
          </w:p>
        </w:tc>
        <w:tc>
          <w:tcPr>
            <w:tcW w:w="4860" w:type="dxa"/>
            <w:shd w:val="clear" w:color="auto" w:fill="00B0F0"/>
          </w:tcPr>
          <w:p w14:paraId="6AD303C9" w14:textId="77777777" w:rsidR="00A13C02" w:rsidRDefault="00A13C02" w:rsidP="006030E3">
            <w:pPr>
              <w:rPr>
                <w:rFonts w:ascii="Verdana" w:hAnsi="Verdana"/>
                <w:sz w:val="18"/>
                <w:szCs w:val="18"/>
              </w:rPr>
            </w:pPr>
            <w:r>
              <w:rPr>
                <w:rFonts w:ascii="Verdana" w:hAnsi="Verdana"/>
                <w:sz w:val="18"/>
                <w:szCs w:val="18"/>
              </w:rPr>
              <w:t>Wijzigingen rondom inzet huisvesting en bijbehorende facilitaire kosten</w:t>
            </w:r>
          </w:p>
        </w:tc>
        <w:tc>
          <w:tcPr>
            <w:tcW w:w="1305" w:type="dxa"/>
          </w:tcPr>
          <w:p w14:paraId="3C452357"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43699B0B"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456DD80D" w14:textId="77777777" w:rsidR="00A13C02" w:rsidRDefault="00A13C02" w:rsidP="006030E3">
            <w:pPr>
              <w:jc w:val="center"/>
              <w:rPr>
                <w:rFonts w:ascii="Verdana" w:hAnsi="Verdana"/>
                <w:sz w:val="18"/>
                <w:szCs w:val="18"/>
              </w:rPr>
            </w:pPr>
            <w:r>
              <w:rPr>
                <w:rFonts w:ascii="Verdana" w:hAnsi="Verdana"/>
                <w:sz w:val="18"/>
                <w:szCs w:val="18"/>
              </w:rPr>
              <w:t>12.000</w:t>
            </w:r>
          </w:p>
        </w:tc>
      </w:tr>
      <w:tr w:rsidR="00A13C02" w14:paraId="304E5B95" w14:textId="77777777" w:rsidTr="006030E3">
        <w:tc>
          <w:tcPr>
            <w:tcW w:w="640" w:type="dxa"/>
            <w:shd w:val="clear" w:color="auto" w:fill="00B0F0"/>
          </w:tcPr>
          <w:p w14:paraId="663ED172" w14:textId="77777777" w:rsidR="00A13C02" w:rsidRDefault="00A13C02" w:rsidP="006030E3">
            <w:pPr>
              <w:jc w:val="center"/>
              <w:rPr>
                <w:rFonts w:ascii="Verdana" w:hAnsi="Verdana"/>
                <w:sz w:val="18"/>
                <w:szCs w:val="18"/>
              </w:rPr>
            </w:pPr>
            <w:r>
              <w:rPr>
                <w:rFonts w:ascii="Verdana" w:hAnsi="Verdana"/>
                <w:sz w:val="18"/>
                <w:szCs w:val="18"/>
              </w:rPr>
              <w:t>3</w:t>
            </w:r>
          </w:p>
        </w:tc>
        <w:tc>
          <w:tcPr>
            <w:tcW w:w="4860" w:type="dxa"/>
            <w:shd w:val="clear" w:color="auto" w:fill="00B0F0"/>
          </w:tcPr>
          <w:p w14:paraId="12F5FEB9" w14:textId="77777777" w:rsidR="00A13C02" w:rsidRDefault="00A13C02" w:rsidP="006030E3">
            <w:pPr>
              <w:rPr>
                <w:rFonts w:ascii="Verdana" w:hAnsi="Verdana"/>
                <w:sz w:val="18"/>
                <w:szCs w:val="18"/>
              </w:rPr>
            </w:pPr>
            <w:r>
              <w:rPr>
                <w:rFonts w:ascii="Verdana" w:hAnsi="Verdana"/>
                <w:sz w:val="18"/>
                <w:szCs w:val="18"/>
              </w:rPr>
              <w:t>Meerjarige UP afspraken en huidige T-rapportage en verantwoording versoberen</w:t>
            </w:r>
          </w:p>
        </w:tc>
        <w:tc>
          <w:tcPr>
            <w:tcW w:w="1305" w:type="dxa"/>
          </w:tcPr>
          <w:p w14:paraId="0239BFCD"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7C7FBE9C"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4BC06E25" w14:textId="77777777" w:rsidR="00A13C02" w:rsidRDefault="00A13C02" w:rsidP="006030E3">
            <w:pPr>
              <w:jc w:val="center"/>
              <w:rPr>
                <w:rFonts w:ascii="Verdana" w:hAnsi="Verdana"/>
                <w:sz w:val="18"/>
                <w:szCs w:val="18"/>
              </w:rPr>
            </w:pPr>
            <w:r>
              <w:rPr>
                <w:rFonts w:ascii="Verdana" w:hAnsi="Verdana"/>
                <w:sz w:val="18"/>
                <w:szCs w:val="18"/>
              </w:rPr>
              <w:t>118.000</w:t>
            </w:r>
          </w:p>
        </w:tc>
      </w:tr>
      <w:tr w:rsidR="00A13C02" w14:paraId="465F730B" w14:textId="77777777" w:rsidTr="006030E3">
        <w:tc>
          <w:tcPr>
            <w:tcW w:w="640" w:type="dxa"/>
            <w:shd w:val="clear" w:color="auto" w:fill="3A7C22" w:themeFill="accent6" w:themeFillShade="BF"/>
          </w:tcPr>
          <w:p w14:paraId="491C2A50" w14:textId="77777777" w:rsidR="00A13C02" w:rsidRDefault="00A13C02" w:rsidP="006030E3">
            <w:pPr>
              <w:jc w:val="center"/>
              <w:rPr>
                <w:rFonts w:ascii="Verdana" w:hAnsi="Verdana"/>
                <w:sz w:val="18"/>
                <w:szCs w:val="18"/>
              </w:rPr>
            </w:pPr>
            <w:r>
              <w:rPr>
                <w:rFonts w:ascii="Verdana" w:hAnsi="Verdana"/>
                <w:sz w:val="18"/>
                <w:szCs w:val="18"/>
              </w:rPr>
              <w:t>4</w:t>
            </w:r>
          </w:p>
        </w:tc>
        <w:tc>
          <w:tcPr>
            <w:tcW w:w="4860" w:type="dxa"/>
            <w:shd w:val="clear" w:color="auto" w:fill="3A7C22" w:themeFill="accent6" w:themeFillShade="BF"/>
          </w:tcPr>
          <w:p w14:paraId="589007F7" w14:textId="77777777" w:rsidR="00A13C02" w:rsidRDefault="00A13C02" w:rsidP="006030E3">
            <w:pPr>
              <w:rPr>
                <w:rFonts w:ascii="Verdana" w:hAnsi="Verdana"/>
                <w:sz w:val="18"/>
                <w:szCs w:val="18"/>
              </w:rPr>
            </w:pPr>
            <w:r>
              <w:rPr>
                <w:rFonts w:ascii="Verdana" w:hAnsi="Verdana"/>
                <w:sz w:val="18"/>
                <w:szCs w:val="18"/>
              </w:rPr>
              <w:t>Verminderen omvang stelpost onvoorziene kosten vanaf 2026</w:t>
            </w:r>
          </w:p>
        </w:tc>
        <w:tc>
          <w:tcPr>
            <w:tcW w:w="1305" w:type="dxa"/>
          </w:tcPr>
          <w:p w14:paraId="288E84D2"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7E8A29F4"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1578624A" w14:textId="77777777" w:rsidR="00A13C02" w:rsidRDefault="00A13C02" w:rsidP="006030E3">
            <w:pPr>
              <w:jc w:val="center"/>
              <w:rPr>
                <w:rFonts w:ascii="Verdana" w:hAnsi="Verdana"/>
                <w:sz w:val="18"/>
                <w:szCs w:val="18"/>
              </w:rPr>
            </w:pPr>
            <w:r>
              <w:rPr>
                <w:rFonts w:ascii="Verdana" w:hAnsi="Verdana"/>
                <w:sz w:val="18"/>
                <w:szCs w:val="18"/>
              </w:rPr>
              <w:t>66.000</w:t>
            </w:r>
          </w:p>
        </w:tc>
      </w:tr>
      <w:tr w:rsidR="00A13C02" w14:paraId="3C5DB381" w14:textId="77777777" w:rsidTr="006030E3">
        <w:tc>
          <w:tcPr>
            <w:tcW w:w="640" w:type="dxa"/>
            <w:shd w:val="clear" w:color="auto" w:fill="FFC000"/>
          </w:tcPr>
          <w:p w14:paraId="56CD55BF" w14:textId="77777777" w:rsidR="00A13C02" w:rsidRDefault="00A13C02" w:rsidP="006030E3">
            <w:pPr>
              <w:jc w:val="center"/>
              <w:rPr>
                <w:rFonts w:ascii="Verdana" w:hAnsi="Verdana"/>
                <w:sz w:val="18"/>
                <w:szCs w:val="18"/>
              </w:rPr>
            </w:pPr>
            <w:r>
              <w:rPr>
                <w:rFonts w:ascii="Verdana" w:hAnsi="Verdana"/>
                <w:sz w:val="18"/>
                <w:szCs w:val="18"/>
              </w:rPr>
              <w:t>5</w:t>
            </w:r>
          </w:p>
        </w:tc>
        <w:tc>
          <w:tcPr>
            <w:tcW w:w="4860" w:type="dxa"/>
            <w:shd w:val="clear" w:color="auto" w:fill="FFC000"/>
          </w:tcPr>
          <w:p w14:paraId="1E5F57AE" w14:textId="77777777" w:rsidR="00A13C02" w:rsidRPr="006C680E" w:rsidRDefault="00A13C02" w:rsidP="006030E3">
            <w:pPr>
              <w:rPr>
                <w:rFonts w:ascii="Verdana" w:hAnsi="Verdana"/>
                <w:sz w:val="18"/>
                <w:szCs w:val="18"/>
              </w:rPr>
            </w:pPr>
            <w:r w:rsidRPr="006C680E">
              <w:rPr>
                <w:rFonts w:ascii="Verdana" w:hAnsi="Verdana"/>
                <w:sz w:val="18"/>
                <w:szCs w:val="18"/>
              </w:rPr>
              <w:t xml:space="preserve">Geen VTH </w:t>
            </w:r>
            <w:r>
              <w:rPr>
                <w:rFonts w:ascii="Verdana" w:hAnsi="Verdana"/>
                <w:sz w:val="18"/>
                <w:szCs w:val="18"/>
              </w:rPr>
              <w:t xml:space="preserve">APV controles </w:t>
            </w:r>
            <w:r w:rsidRPr="006C680E">
              <w:rPr>
                <w:rFonts w:ascii="Verdana" w:hAnsi="Verdana"/>
                <w:sz w:val="18"/>
                <w:szCs w:val="18"/>
              </w:rPr>
              <w:t>evenementen</w:t>
            </w:r>
            <w:r>
              <w:rPr>
                <w:rFonts w:ascii="Verdana" w:hAnsi="Verdana"/>
                <w:sz w:val="18"/>
                <w:szCs w:val="18"/>
              </w:rPr>
              <w:t xml:space="preserve"> meer</w:t>
            </w:r>
          </w:p>
        </w:tc>
        <w:tc>
          <w:tcPr>
            <w:tcW w:w="1305" w:type="dxa"/>
          </w:tcPr>
          <w:p w14:paraId="4AB37924"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623B2621"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1232A7D8" w14:textId="77777777" w:rsidR="00A13C02" w:rsidRDefault="00A13C02" w:rsidP="006030E3">
            <w:pPr>
              <w:jc w:val="center"/>
              <w:rPr>
                <w:rFonts w:ascii="Verdana" w:hAnsi="Verdana"/>
                <w:sz w:val="18"/>
                <w:szCs w:val="18"/>
              </w:rPr>
            </w:pPr>
            <w:r>
              <w:rPr>
                <w:rFonts w:ascii="Verdana" w:hAnsi="Verdana"/>
                <w:sz w:val="18"/>
                <w:szCs w:val="18"/>
              </w:rPr>
              <w:t>145.000</w:t>
            </w:r>
          </w:p>
        </w:tc>
      </w:tr>
      <w:tr w:rsidR="00A13C02" w14:paraId="2B4ED89F" w14:textId="77777777" w:rsidTr="006030E3">
        <w:tc>
          <w:tcPr>
            <w:tcW w:w="640" w:type="dxa"/>
            <w:shd w:val="clear" w:color="auto" w:fill="FFC000"/>
          </w:tcPr>
          <w:p w14:paraId="71BC31E1" w14:textId="77777777" w:rsidR="00A13C02" w:rsidRDefault="00A13C02" w:rsidP="006030E3">
            <w:pPr>
              <w:jc w:val="center"/>
              <w:rPr>
                <w:rFonts w:ascii="Verdana" w:hAnsi="Verdana"/>
                <w:sz w:val="18"/>
                <w:szCs w:val="18"/>
              </w:rPr>
            </w:pPr>
            <w:r>
              <w:rPr>
                <w:rFonts w:ascii="Verdana" w:hAnsi="Verdana"/>
                <w:sz w:val="18"/>
                <w:szCs w:val="18"/>
              </w:rPr>
              <w:t>6</w:t>
            </w:r>
          </w:p>
        </w:tc>
        <w:tc>
          <w:tcPr>
            <w:tcW w:w="4860" w:type="dxa"/>
            <w:shd w:val="clear" w:color="auto" w:fill="FFC000"/>
          </w:tcPr>
          <w:p w14:paraId="5BD272A8" w14:textId="77777777" w:rsidR="00A13C02" w:rsidRDefault="00A13C02" w:rsidP="006030E3">
            <w:pPr>
              <w:rPr>
                <w:rFonts w:ascii="Verdana" w:hAnsi="Verdana"/>
                <w:sz w:val="18"/>
                <w:szCs w:val="18"/>
              </w:rPr>
            </w:pPr>
            <w:r>
              <w:rPr>
                <w:rFonts w:ascii="Verdana" w:hAnsi="Verdana"/>
                <w:sz w:val="18"/>
                <w:szCs w:val="18"/>
              </w:rPr>
              <w:t>Geen VTH APV klachten (geluidsoverlast) meer</w:t>
            </w:r>
          </w:p>
        </w:tc>
        <w:tc>
          <w:tcPr>
            <w:tcW w:w="1305" w:type="dxa"/>
          </w:tcPr>
          <w:p w14:paraId="338582DB"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23F9CDA6"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415314B9" w14:textId="77777777" w:rsidR="00A13C02" w:rsidRDefault="00A13C02" w:rsidP="006030E3">
            <w:pPr>
              <w:jc w:val="center"/>
              <w:rPr>
                <w:rFonts w:ascii="Verdana" w:hAnsi="Verdana"/>
                <w:sz w:val="18"/>
                <w:szCs w:val="18"/>
              </w:rPr>
            </w:pPr>
            <w:r>
              <w:rPr>
                <w:rFonts w:ascii="Verdana" w:hAnsi="Verdana"/>
                <w:sz w:val="18"/>
                <w:szCs w:val="18"/>
              </w:rPr>
              <w:t>40.000</w:t>
            </w:r>
          </w:p>
        </w:tc>
      </w:tr>
      <w:tr w:rsidR="00A13C02" w14:paraId="572F8BA9" w14:textId="77777777" w:rsidTr="006030E3">
        <w:tc>
          <w:tcPr>
            <w:tcW w:w="640" w:type="dxa"/>
            <w:shd w:val="clear" w:color="auto" w:fill="FFC000"/>
          </w:tcPr>
          <w:p w14:paraId="0AD91652" w14:textId="77777777" w:rsidR="00A13C02" w:rsidRDefault="00A13C02" w:rsidP="006030E3">
            <w:pPr>
              <w:jc w:val="center"/>
              <w:rPr>
                <w:rFonts w:ascii="Verdana" w:hAnsi="Verdana"/>
                <w:sz w:val="18"/>
                <w:szCs w:val="18"/>
              </w:rPr>
            </w:pPr>
            <w:r>
              <w:rPr>
                <w:rFonts w:ascii="Verdana" w:hAnsi="Verdana"/>
                <w:sz w:val="18"/>
                <w:szCs w:val="18"/>
              </w:rPr>
              <w:t>7</w:t>
            </w:r>
          </w:p>
        </w:tc>
        <w:tc>
          <w:tcPr>
            <w:tcW w:w="4860" w:type="dxa"/>
            <w:shd w:val="clear" w:color="auto" w:fill="FFC000"/>
          </w:tcPr>
          <w:p w14:paraId="4539F100" w14:textId="77777777" w:rsidR="00A13C02" w:rsidRDefault="00A13C02" w:rsidP="006030E3">
            <w:pPr>
              <w:rPr>
                <w:rFonts w:ascii="Verdana" w:hAnsi="Verdana"/>
                <w:sz w:val="18"/>
                <w:szCs w:val="18"/>
              </w:rPr>
            </w:pPr>
            <w:r w:rsidRPr="001A5DD8">
              <w:rPr>
                <w:rFonts w:ascii="Verdana" w:hAnsi="Verdana" w:cs="Arial"/>
                <w:color w:val="000000" w:themeColor="text1"/>
                <w:sz w:val="18"/>
                <w:szCs w:val="18"/>
              </w:rPr>
              <w:t>Langere afschrijving en latere vervanging I-</w:t>
            </w:r>
            <w:proofErr w:type="spellStart"/>
            <w:r w:rsidRPr="001A5DD8">
              <w:rPr>
                <w:rFonts w:ascii="Verdana" w:hAnsi="Verdana" w:cs="Arial"/>
                <w:color w:val="000000" w:themeColor="text1"/>
                <w:sz w:val="18"/>
                <w:szCs w:val="18"/>
              </w:rPr>
              <w:t>pads</w:t>
            </w:r>
            <w:proofErr w:type="spellEnd"/>
            <w:r w:rsidRPr="001A5DD8">
              <w:rPr>
                <w:rFonts w:ascii="Verdana" w:hAnsi="Verdana" w:cs="Arial"/>
                <w:color w:val="000000" w:themeColor="text1"/>
                <w:sz w:val="18"/>
                <w:szCs w:val="18"/>
              </w:rPr>
              <w:t>, Telefoons en Laptops (van 3 naar 4 jaar)</w:t>
            </w:r>
          </w:p>
        </w:tc>
        <w:tc>
          <w:tcPr>
            <w:tcW w:w="1305" w:type="dxa"/>
          </w:tcPr>
          <w:p w14:paraId="5ADF6317"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46E95E3E"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01D15827" w14:textId="77777777" w:rsidR="00A13C02" w:rsidRDefault="00A13C02" w:rsidP="006030E3">
            <w:pPr>
              <w:jc w:val="center"/>
              <w:rPr>
                <w:rFonts w:ascii="Verdana" w:hAnsi="Verdana"/>
                <w:sz w:val="18"/>
                <w:szCs w:val="18"/>
              </w:rPr>
            </w:pPr>
            <w:r>
              <w:rPr>
                <w:rFonts w:ascii="Verdana" w:hAnsi="Verdana"/>
                <w:sz w:val="18"/>
                <w:szCs w:val="18"/>
              </w:rPr>
              <w:t>Gem. 28.000</w:t>
            </w:r>
          </w:p>
        </w:tc>
      </w:tr>
      <w:tr w:rsidR="00A13C02" w14:paraId="0FB48A2C" w14:textId="77777777" w:rsidTr="006030E3">
        <w:tc>
          <w:tcPr>
            <w:tcW w:w="640" w:type="dxa"/>
            <w:shd w:val="clear" w:color="auto" w:fill="FF0000"/>
          </w:tcPr>
          <w:p w14:paraId="560DB4C7" w14:textId="77777777" w:rsidR="00A13C02" w:rsidRPr="00491383" w:rsidRDefault="00A13C02" w:rsidP="006030E3">
            <w:pPr>
              <w:jc w:val="center"/>
              <w:rPr>
                <w:rFonts w:ascii="Verdana" w:hAnsi="Verdana"/>
                <w:color w:val="000000" w:themeColor="text1"/>
                <w:sz w:val="18"/>
                <w:szCs w:val="18"/>
              </w:rPr>
            </w:pPr>
            <w:r>
              <w:rPr>
                <w:rFonts w:ascii="Verdana" w:hAnsi="Verdana"/>
                <w:color w:val="000000" w:themeColor="text1"/>
                <w:sz w:val="18"/>
                <w:szCs w:val="18"/>
              </w:rPr>
              <w:t>8</w:t>
            </w:r>
          </w:p>
        </w:tc>
        <w:tc>
          <w:tcPr>
            <w:tcW w:w="4860" w:type="dxa"/>
            <w:shd w:val="clear" w:color="auto" w:fill="FF0000"/>
          </w:tcPr>
          <w:p w14:paraId="66DD13BA" w14:textId="77777777" w:rsidR="00A13C02" w:rsidRPr="00491383" w:rsidRDefault="00A13C02" w:rsidP="006030E3">
            <w:pPr>
              <w:rPr>
                <w:rFonts w:ascii="Verdana" w:hAnsi="Verdana"/>
                <w:color w:val="000000" w:themeColor="text1"/>
                <w:sz w:val="18"/>
                <w:szCs w:val="18"/>
              </w:rPr>
            </w:pPr>
            <w:r w:rsidRPr="00491383">
              <w:rPr>
                <w:rFonts w:ascii="Verdana" w:hAnsi="Verdana"/>
                <w:color w:val="000000" w:themeColor="text1"/>
                <w:sz w:val="18"/>
                <w:szCs w:val="18"/>
              </w:rPr>
              <w:t>Meldingen</w:t>
            </w:r>
            <w:r>
              <w:rPr>
                <w:rFonts w:ascii="Verdana" w:hAnsi="Verdana"/>
                <w:color w:val="000000" w:themeColor="text1"/>
                <w:sz w:val="18"/>
                <w:szCs w:val="18"/>
              </w:rPr>
              <w:t xml:space="preserve"> (deels)</w:t>
            </w:r>
            <w:r w:rsidRPr="00491383">
              <w:rPr>
                <w:rFonts w:ascii="Verdana" w:hAnsi="Verdana"/>
                <w:color w:val="000000" w:themeColor="text1"/>
                <w:sz w:val="18"/>
                <w:szCs w:val="18"/>
              </w:rPr>
              <w:t xml:space="preserve"> administratief afdoen</w:t>
            </w:r>
          </w:p>
        </w:tc>
        <w:tc>
          <w:tcPr>
            <w:tcW w:w="1305" w:type="dxa"/>
          </w:tcPr>
          <w:p w14:paraId="4A4AB3D1" w14:textId="77777777" w:rsidR="00A13C02" w:rsidRDefault="00A13C02" w:rsidP="006030E3">
            <w:pPr>
              <w:jc w:val="center"/>
              <w:rPr>
                <w:rFonts w:ascii="Verdana" w:hAnsi="Verdana"/>
                <w:sz w:val="18"/>
                <w:szCs w:val="18"/>
              </w:rPr>
            </w:pPr>
            <w:r>
              <w:rPr>
                <w:rFonts w:ascii="Verdana" w:hAnsi="Verdana"/>
                <w:sz w:val="18"/>
                <w:szCs w:val="18"/>
              </w:rPr>
              <w:t>x</w:t>
            </w:r>
          </w:p>
        </w:tc>
        <w:tc>
          <w:tcPr>
            <w:tcW w:w="1180" w:type="dxa"/>
          </w:tcPr>
          <w:p w14:paraId="2EE12C53"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0F6E2600" w14:textId="77777777" w:rsidR="00A13C02" w:rsidRDefault="00A13C02" w:rsidP="006030E3">
            <w:pPr>
              <w:jc w:val="center"/>
              <w:rPr>
                <w:rFonts w:ascii="Verdana" w:hAnsi="Verdana"/>
                <w:sz w:val="18"/>
                <w:szCs w:val="18"/>
              </w:rPr>
            </w:pPr>
            <w:r>
              <w:rPr>
                <w:rFonts w:ascii="Verdana" w:hAnsi="Verdana"/>
                <w:sz w:val="18"/>
                <w:szCs w:val="18"/>
              </w:rPr>
              <w:t>175.000</w:t>
            </w:r>
          </w:p>
        </w:tc>
      </w:tr>
      <w:tr w:rsidR="00A13C02" w14:paraId="1F6FDF3B" w14:textId="77777777" w:rsidTr="006030E3">
        <w:tc>
          <w:tcPr>
            <w:tcW w:w="640" w:type="dxa"/>
            <w:shd w:val="clear" w:color="auto" w:fill="FF0000"/>
          </w:tcPr>
          <w:p w14:paraId="1C2567FE" w14:textId="77777777" w:rsidR="00A13C02" w:rsidRPr="00491383" w:rsidRDefault="00A13C02" w:rsidP="006030E3">
            <w:pPr>
              <w:jc w:val="center"/>
              <w:rPr>
                <w:rFonts w:ascii="Verdana" w:hAnsi="Verdana"/>
                <w:color w:val="000000" w:themeColor="text1"/>
                <w:sz w:val="18"/>
                <w:szCs w:val="18"/>
              </w:rPr>
            </w:pPr>
            <w:r>
              <w:rPr>
                <w:rFonts w:ascii="Verdana" w:hAnsi="Verdana"/>
                <w:color w:val="000000" w:themeColor="text1"/>
                <w:sz w:val="18"/>
                <w:szCs w:val="18"/>
              </w:rPr>
              <w:t>9</w:t>
            </w:r>
          </w:p>
        </w:tc>
        <w:tc>
          <w:tcPr>
            <w:tcW w:w="4860" w:type="dxa"/>
            <w:shd w:val="clear" w:color="auto" w:fill="FF0000"/>
          </w:tcPr>
          <w:p w14:paraId="621342FA" w14:textId="77777777" w:rsidR="00A13C02" w:rsidRPr="00491383" w:rsidRDefault="00A13C02" w:rsidP="006030E3">
            <w:pPr>
              <w:rPr>
                <w:rFonts w:ascii="Verdana" w:hAnsi="Verdana"/>
                <w:color w:val="000000" w:themeColor="text1"/>
                <w:sz w:val="18"/>
                <w:szCs w:val="18"/>
              </w:rPr>
            </w:pPr>
            <w:r w:rsidRPr="00491383">
              <w:rPr>
                <w:rFonts w:ascii="Verdana" w:hAnsi="Verdana"/>
                <w:color w:val="000000" w:themeColor="text1"/>
                <w:sz w:val="18"/>
                <w:szCs w:val="18"/>
              </w:rPr>
              <w:t>Controle frequentie naar beneden</w:t>
            </w:r>
          </w:p>
        </w:tc>
        <w:tc>
          <w:tcPr>
            <w:tcW w:w="1305" w:type="dxa"/>
          </w:tcPr>
          <w:p w14:paraId="17FD6A82" w14:textId="77777777" w:rsidR="00A13C02" w:rsidRDefault="00A13C02" w:rsidP="006030E3">
            <w:pPr>
              <w:jc w:val="center"/>
              <w:rPr>
                <w:rFonts w:ascii="Verdana" w:hAnsi="Verdana"/>
                <w:sz w:val="18"/>
                <w:szCs w:val="18"/>
              </w:rPr>
            </w:pPr>
          </w:p>
        </w:tc>
        <w:tc>
          <w:tcPr>
            <w:tcW w:w="1180" w:type="dxa"/>
          </w:tcPr>
          <w:p w14:paraId="6FEBB01A"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3FCFBC19" w14:textId="77777777" w:rsidR="00A13C02" w:rsidRDefault="00A13C02" w:rsidP="006030E3">
            <w:pPr>
              <w:jc w:val="center"/>
              <w:rPr>
                <w:rFonts w:ascii="Verdana" w:hAnsi="Verdana"/>
                <w:sz w:val="18"/>
                <w:szCs w:val="18"/>
              </w:rPr>
            </w:pPr>
            <w:r>
              <w:rPr>
                <w:rFonts w:ascii="Verdana" w:hAnsi="Verdana"/>
                <w:sz w:val="18"/>
                <w:szCs w:val="18"/>
              </w:rPr>
              <w:t>86.000</w:t>
            </w:r>
          </w:p>
        </w:tc>
      </w:tr>
      <w:tr w:rsidR="00A13C02" w14:paraId="1C33178E" w14:textId="77777777" w:rsidTr="006030E3">
        <w:tc>
          <w:tcPr>
            <w:tcW w:w="640" w:type="dxa"/>
            <w:shd w:val="clear" w:color="auto" w:fill="FF0000"/>
          </w:tcPr>
          <w:p w14:paraId="21D38D3D" w14:textId="77777777" w:rsidR="00A13C02" w:rsidRPr="00491383" w:rsidRDefault="00A13C02" w:rsidP="006030E3">
            <w:pPr>
              <w:jc w:val="center"/>
              <w:rPr>
                <w:rFonts w:ascii="Verdana" w:hAnsi="Verdana"/>
                <w:color w:val="000000" w:themeColor="text1"/>
                <w:sz w:val="18"/>
                <w:szCs w:val="18"/>
              </w:rPr>
            </w:pPr>
            <w:r>
              <w:rPr>
                <w:rFonts w:ascii="Verdana" w:hAnsi="Verdana"/>
                <w:color w:val="000000" w:themeColor="text1"/>
                <w:sz w:val="18"/>
                <w:szCs w:val="18"/>
              </w:rPr>
              <w:t>10</w:t>
            </w:r>
          </w:p>
        </w:tc>
        <w:tc>
          <w:tcPr>
            <w:tcW w:w="4860" w:type="dxa"/>
            <w:shd w:val="clear" w:color="auto" w:fill="FF0000"/>
          </w:tcPr>
          <w:p w14:paraId="4BDE167B" w14:textId="77777777" w:rsidR="00A13C02" w:rsidRPr="00491383" w:rsidRDefault="00A13C02" w:rsidP="006030E3">
            <w:pPr>
              <w:rPr>
                <w:rFonts w:ascii="Verdana" w:hAnsi="Verdana"/>
                <w:color w:val="000000" w:themeColor="text1"/>
                <w:sz w:val="18"/>
                <w:szCs w:val="18"/>
              </w:rPr>
            </w:pPr>
            <w:r w:rsidRPr="00491383">
              <w:rPr>
                <w:rFonts w:ascii="Verdana" w:hAnsi="Verdana"/>
                <w:color w:val="000000" w:themeColor="text1"/>
                <w:sz w:val="18"/>
                <w:szCs w:val="18"/>
              </w:rPr>
              <w:t>Terugbrengen adviestaken</w:t>
            </w:r>
          </w:p>
        </w:tc>
        <w:tc>
          <w:tcPr>
            <w:tcW w:w="1305" w:type="dxa"/>
          </w:tcPr>
          <w:p w14:paraId="221144CD" w14:textId="77777777" w:rsidR="00A13C02" w:rsidRDefault="00A13C02" w:rsidP="006030E3">
            <w:pPr>
              <w:jc w:val="center"/>
              <w:rPr>
                <w:rFonts w:ascii="Verdana" w:hAnsi="Verdana"/>
                <w:sz w:val="18"/>
                <w:szCs w:val="18"/>
              </w:rPr>
            </w:pPr>
          </w:p>
        </w:tc>
        <w:tc>
          <w:tcPr>
            <w:tcW w:w="1180" w:type="dxa"/>
          </w:tcPr>
          <w:p w14:paraId="0B893754"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2A1C569A" w14:textId="77777777" w:rsidR="00A13C02" w:rsidRDefault="00A13C02" w:rsidP="006030E3">
            <w:pPr>
              <w:jc w:val="center"/>
              <w:rPr>
                <w:rFonts w:ascii="Verdana" w:hAnsi="Verdana"/>
                <w:sz w:val="18"/>
                <w:szCs w:val="18"/>
              </w:rPr>
            </w:pPr>
            <w:r>
              <w:rPr>
                <w:rFonts w:ascii="Verdana" w:hAnsi="Verdana"/>
                <w:sz w:val="18"/>
                <w:szCs w:val="18"/>
              </w:rPr>
              <w:t>200.000</w:t>
            </w:r>
          </w:p>
        </w:tc>
      </w:tr>
      <w:tr w:rsidR="00A13C02" w14:paraId="1F3C4573" w14:textId="77777777" w:rsidTr="006030E3">
        <w:tc>
          <w:tcPr>
            <w:tcW w:w="640" w:type="dxa"/>
            <w:shd w:val="clear" w:color="auto" w:fill="FF0000"/>
          </w:tcPr>
          <w:p w14:paraId="6F1B729B" w14:textId="77777777" w:rsidR="00A13C02" w:rsidRPr="00491383" w:rsidRDefault="00A13C02" w:rsidP="006030E3">
            <w:pPr>
              <w:jc w:val="center"/>
              <w:rPr>
                <w:rFonts w:ascii="Verdana" w:hAnsi="Verdana"/>
                <w:color w:val="000000" w:themeColor="text1"/>
                <w:sz w:val="18"/>
                <w:szCs w:val="18"/>
              </w:rPr>
            </w:pPr>
            <w:r>
              <w:rPr>
                <w:rFonts w:ascii="Verdana" w:hAnsi="Verdana"/>
                <w:color w:val="000000" w:themeColor="text1"/>
                <w:sz w:val="18"/>
                <w:szCs w:val="18"/>
              </w:rPr>
              <w:t>11</w:t>
            </w:r>
          </w:p>
        </w:tc>
        <w:tc>
          <w:tcPr>
            <w:tcW w:w="4860" w:type="dxa"/>
            <w:shd w:val="clear" w:color="auto" w:fill="FF0000"/>
          </w:tcPr>
          <w:p w14:paraId="0B08A437" w14:textId="77777777" w:rsidR="00A13C02" w:rsidRPr="00491383" w:rsidRDefault="00A13C02" w:rsidP="006030E3">
            <w:pPr>
              <w:rPr>
                <w:rFonts w:ascii="Verdana" w:hAnsi="Verdana"/>
                <w:color w:val="000000" w:themeColor="text1"/>
                <w:sz w:val="18"/>
                <w:szCs w:val="18"/>
              </w:rPr>
            </w:pPr>
            <w:r w:rsidRPr="00491383">
              <w:rPr>
                <w:rFonts w:ascii="Verdana" w:hAnsi="Verdana"/>
                <w:color w:val="000000" w:themeColor="text1"/>
                <w:sz w:val="18"/>
                <w:szCs w:val="18"/>
              </w:rPr>
              <w:t>Overdragen beheer archief</w:t>
            </w:r>
          </w:p>
        </w:tc>
        <w:tc>
          <w:tcPr>
            <w:tcW w:w="1305" w:type="dxa"/>
          </w:tcPr>
          <w:p w14:paraId="659087DA" w14:textId="77777777" w:rsidR="00A13C02" w:rsidRDefault="00A13C02" w:rsidP="006030E3">
            <w:pPr>
              <w:jc w:val="center"/>
              <w:rPr>
                <w:rFonts w:ascii="Verdana" w:hAnsi="Verdana"/>
                <w:sz w:val="18"/>
                <w:szCs w:val="18"/>
              </w:rPr>
            </w:pPr>
          </w:p>
        </w:tc>
        <w:tc>
          <w:tcPr>
            <w:tcW w:w="1180" w:type="dxa"/>
          </w:tcPr>
          <w:p w14:paraId="74B8A709" w14:textId="77777777" w:rsidR="00A13C02" w:rsidRDefault="00A13C02" w:rsidP="006030E3">
            <w:pPr>
              <w:jc w:val="center"/>
              <w:rPr>
                <w:rFonts w:ascii="Verdana" w:hAnsi="Verdana"/>
                <w:sz w:val="18"/>
                <w:szCs w:val="18"/>
              </w:rPr>
            </w:pPr>
            <w:r>
              <w:rPr>
                <w:rFonts w:ascii="Verdana" w:hAnsi="Verdana"/>
                <w:sz w:val="18"/>
                <w:szCs w:val="18"/>
              </w:rPr>
              <w:t>x</w:t>
            </w:r>
          </w:p>
        </w:tc>
        <w:tc>
          <w:tcPr>
            <w:tcW w:w="1219" w:type="dxa"/>
          </w:tcPr>
          <w:p w14:paraId="6AECF33C" w14:textId="77777777" w:rsidR="00A13C02" w:rsidRDefault="00A13C02" w:rsidP="006030E3">
            <w:pPr>
              <w:jc w:val="center"/>
              <w:rPr>
                <w:rFonts w:ascii="Verdana" w:hAnsi="Verdana"/>
                <w:sz w:val="18"/>
                <w:szCs w:val="18"/>
              </w:rPr>
            </w:pPr>
            <w:r>
              <w:rPr>
                <w:rFonts w:ascii="Verdana" w:hAnsi="Verdana"/>
                <w:sz w:val="18"/>
                <w:szCs w:val="18"/>
              </w:rPr>
              <w:t>110.000</w:t>
            </w:r>
          </w:p>
        </w:tc>
      </w:tr>
      <w:tr w:rsidR="00A13C02" w14:paraId="22EEF2F9" w14:textId="77777777" w:rsidTr="006030E3">
        <w:tc>
          <w:tcPr>
            <w:tcW w:w="640" w:type="dxa"/>
            <w:shd w:val="clear" w:color="auto" w:fill="A6A6A6" w:themeFill="background1" w:themeFillShade="A6"/>
          </w:tcPr>
          <w:p w14:paraId="664121F8" w14:textId="77777777" w:rsidR="00A13C02" w:rsidRPr="00ED13A1" w:rsidRDefault="00A13C02" w:rsidP="006030E3">
            <w:pPr>
              <w:jc w:val="center"/>
              <w:rPr>
                <w:rFonts w:ascii="Verdana" w:hAnsi="Verdana"/>
                <w:color w:val="FFFFFF" w:themeColor="background1"/>
                <w:sz w:val="18"/>
                <w:szCs w:val="18"/>
              </w:rPr>
            </w:pPr>
          </w:p>
        </w:tc>
        <w:tc>
          <w:tcPr>
            <w:tcW w:w="4860" w:type="dxa"/>
            <w:shd w:val="clear" w:color="auto" w:fill="A6A6A6" w:themeFill="background1" w:themeFillShade="A6"/>
          </w:tcPr>
          <w:p w14:paraId="6BC11516" w14:textId="77777777" w:rsidR="00A13C02" w:rsidRPr="003A56B2" w:rsidRDefault="00A13C02" w:rsidP="006030E3">
            <w:pPr>
              <w:rPr>
                <w:rFonts w:ascii="Verdana" w:hAnsi="Verdana" w:cs="Arial"/>
                <w:b/>
                <w:bCs/>
                <w:color w:val="FFFFFF" w:themeColor="background1"/>
                <w:sz w:val="18"/>
                <w:szCs w:val="18"/>
              </w:rPr>
            </w:pPr>
            <w:r w:rsidRPr="003A56B2">
              <w:rPr>
                <w:rFonts w:ascii="Verdana" w:hAnsi="Verdana" w:cs="Arial"/>
                <w:b/>
                <w:bCs/>
                <w:color w:val="000000" w:themeColor="text1"/>
                <w:sz w:val="18"/>
                <w:szCs w:val="18"/>
              </w:rPr>
              <w:t>Totaal</w:t>
            </w:r>
          </w:p>
        </w:tc>
        <w:tc>
          <w:tcPr>
            <w:tcW w:w="1305" w:type="dxa"/>
            <w:shd w:val="clear" w:color="auto" w:fill="A6A6A6" w:themeFill="background1" w:themeFillShade="A6"/>
          </w:tcPr>
          <w:p w14:paraId="6952DFB5" w14:textId="77777777" w:rsidR="00A13C02" w:rsidRDefault="00A13C02" w:rsidP="006030E3">
            <w:pPr>
              <w:jc w:val="center"/>
              <w:rPr>
                <w:rFonts w:ascii="Verdana" w:hAnsi="Verdana"/>
                <w:sz w:val="18"/>
                <w:szCs w:val="18"/>
              </w:rPr>
            </w:pPr>
            <w:r>
              <w:rPr>
                <w:rFonts w:ascii="Verdana" w:hAnsi="Verdana"/>
                <w:sz w:val="18"/>
                <w:szCs w:val="18"/>
              </w:rPr>
              <w:t>€596.000</w:t>
            </w:r>
          </w:p>
        </w:tc>
        <w:tc>
          <w:tcPr>
            <w:tcW w:w="1180" w:type="dxa"/>
            <w:shd w:val="clear" w:color="auto" w:fill="A6A6A6" w:themeFill="background1" w:themeFillShade="A6"/>
          </w:tcPr>
          <w:p w14:paraId="2B5D0031" w14:textId="77777777" w:rsidR="00A13C02" w:rsidRDefault="00A13C02" w:rsidP="006030E3">
            <w:pPr>
              <w:rPr>
                <w:rFonts w:ascii="Verdana" w:hAnsi="Verdana"/>
                <w:sz w:val="18"/>
                <w:szCs w:val="18"/>
              </w:rPr>
            </w:pPr>
            <w:r>
              <w:rPr>
                <w:rFonts w:ascii="Verdana" w:hAnsi="Verdana"/>
                <w:sz w:val="18"/>
                <w:szCs w:val="18"/>
              </w:rPr>
              <w:t>€992.000</w:t>
            </w:r>
          </w:p>
        </w:tc>
        <w:tc>
          <w:tcPr>
            <w:tcW w:w="1219" w:type="dxa"/>
            <w:shd w:val="clear" w:color="auto" w:fill="A6A6A6" w:themeFill="background1" w:themeFillShade="A6"/>
          </w:tcPr>
          <w:p w14:paraId="29DD1EAF" w14:textId="77777777" w:rsidR="00A13C02" w:rsidRDefault="00A13C02" w:rsidP="006030E3">
            <w:pPr>
              <w:rPr>
                <w:rFonts w:ascii="Verdana" w:hAnsi="Verdana"/>
                <w:sz w:val="18"/>
                <w:szCs w:val="18"/>
              </w:rPr>
            </w:pPr>
          </w:p>
        </w:tc>
      </w:tr>
    </w:tbl>
    <w:p w14:paraId="3760069A" w14:textId="77777777" w:rsidR="00A13C02" w:rsidRDefault="00A13C02" w:rsidP="00A13C02">
      <w:pPr>
        <w:spacing w:after="0" w:line="240" w:lineRule="auto"/>
        <w:contextualSpacing/>
        <w:rPr>
          <w:rFonts w:ascii="Verdana" w:hAnsi="Verdana"/>
          <w:sz w:val="18"/>
          <w:szCs w:val="18"/>
        </w:rPr>
      </w:pPr>
    </w:p>
    <w:p w14:paraId="3D627A2B" w14:textId="77777777" w:rsidR="00A13C02" w:rsidRPr="00AC3DAA" w:rsidRDefault="00A13C02" w:rsidP="00A13C02">
      <w:pPr>
        <w:spacing w:after="0" w:line="240" w:lineRule="auto"/>
        <w:contextualSpacing/>
        <w:rPr>
          <w:rFonts w:ascii="Verdana" w:hAnsi="Verdana"/>
          <w:b/>
          <w:bCs/>
          <w:sz w:val="18"/>
          <w:szCs w:val="18"/>
        </w:rPr>
      </w:pPr>
      <w:r w:rsidRPr="00AC3DAA">
        <w:rPr>
          <w:rFonts w:ascii="Verdana" w:hAnsi="Verdana"/>
          <w:b/>
          <w:bCs/>
          <w:sz w:val="18"/>
          <w:szCs w:val="18"/>
        </w:rPr>
        <w:t>Impact</w:t>
      </w:r>
    </w:p>
    <w:p w14:paraId="05F594B3" w14:textId="77777777" w:rsidR="00A13C02" w:rsidRDefault="00A13C02" w:rsidP="00A13C02">
      <w:pPr>
        <w:spacing w:after="0" w:line="240" w:lineRule="auto"/>
        <w:contextualSpacing/>
        <w:rPr>
          <w:rFonts w:ascii="Verdana" w:hAnsi="Verdana"/>
          <w:sz w:val="18"/>
          <w:szCs w:val="18"/>
        </w:rPr>
      </w:pPr>
      <w:r w:rsidRPr="7B0164AA">
        <w:rPr>
          <w:rFonts w:ascii="Verdana" w:hAnsi="Verdana"/>
          <w:sz w:val="18"/>
          <w:szCs w:val="18"/>
        </w:rPr>
        <w:t>Bij de voorstellen van de mogelijke bezuinigingen van de gevraagde scenario’s is rekening gehouden met de maatschappelijke impact en wettelijke kaders en uitgewerkt volgens het schilmodel. Hierbij is geprioriteerd van laag risico en lage impact tot hoog risico en hoge impact. Bij beide scenario’s is de volgende onderverdeling gehanteerd:</w:t>
      </w:r>
    </w:p>
    <w:p w14:paraId="395638AC" w14:textId="77777777" w:rsidR="00A13C02" w:rsidRDefault="00A13C02" w:rsidP="00A13C02">
      <w:pPr>
        <w:spacing w:after="0" w:line="240" w:lineRule="auto"/>
        <w:contextualSpacing/>
        <w:rPr>
          <w:rFonts w:ascii="Verdana" w:hAnsi="Verdana"/>
          <w:sz w:val="18"/>
          <w:szCs w:val="18"/>
        </w:rPr>
      </w:pPr>
    </w:p>
    <w:tbl>
      <w:tblPr>
        <w:tblStyle w:val="Tabelraster"/>
        <w:tblW w:w="10060" w:type="dxa"/>
        <w:tblLook w:val="04A0" w:firstRow="1" w:lastRow="0" w:firstColumn="1" w:lastColumn="0" w:noHBand="0" w:noVBand="1"/>
      </w:tblPr>
      <w:tblGrid>
        <w:gridCol w:w="942"/>
        <w:gridCol w:w="9118"/>
      </w:tblGrid>
      <w:tr w:rsidR="00A13C02" w14:paraId="4271E7DD" w14:textId="77777777" w:rsidTr="006030E3">
        <w:tc>
          <w:tcPr>
            <w:tcW w:w="942" w:type="dxa"/>
            <w:shd w:val="clear" w:color="auto" w:fill="A6A6A6" w:themeFill="background1" w:themeFillShade="A6"/>
          </w:tcPr>
          <w:p w14:paraId="3BC8E751" w14:textId="77777777" w:rsidR="00A13C02" w:rsidRDefault="00A13C02" w:rsidP="006030E3">
            <w:pPr>
              <w:jc w:val="center"/>
              <w:rPr>
                <w:rFonts w:ascii="Verdana" w:hAnsi="Verdana"/>
                <w:sz w:val="18"/>
                <w:szCs w:val="18"/>
              </w:rPr>
            </w:pPr>
            <w:r>
              <w:rPr>
                <w:rFonts w:ascii="Verdana" w:hAnsi="Verdana"/>
                <w:sz w:val="18"/>
                <w:szCs w:val="18"/>
              </w:rPr>
              <w:t>Ranking</w:t>
            </w:r>
          </w:p>
        </w:tc>
        <w:tc>
          <w:tcPr>
            <w:tcW w:w="9118" w:type="dxa"/>
            <w:shd w:val="clear" w:color="auto" w:fill="A6A6A6" w:themeFill="background1" w:themeFillShade="A6"/>
          </w:tcPr>
          <w:p w14:paraId="255ED72F" w14:textId="77777777" w:rsidR="00A13C02" w:rsidRDefault="00A13C02" w:rsidP="006030E3">
            <w:pPr>
              <w:rPr>
                <w:rFonts w:ascii="Verdana" w:hAnsi="Verdana"/>
                <w:sz w:val="18"/>
                <w:szCs w:val="18"/>
              </w:rPr>
            </w:pPr>
            <w:r>
              <w:rPr>
                <w:rFonts w:ascii="Verdana" w:hAnsi="Verdana"/>
                <w:sz w:val="18"/>
                <w:szCs w:val="18"/>
              </w:rPr>
              <w:t>Omschrijving</w:t>
            </w:r>
          </w:p>
        </w:tc>
      </w:tr>
      <w:tr w:rsidR="00A13C02" w14:paraId="75837A14" w14:textId="77777777" w:rsidTr="006030E3">
        <w:tc>
          <w:tcPr>
            <w:tcW w:w="942" w:type="dxa"/>
            <w:shd w:val="clear" w:color="auto" w:fill="FF0000"/>
          </w:tcPr>
          <w:p w14:paraId="26D8CF32" w14:textId="77777777" w:rsidR="00A13C02" w:rsidRDefault="00A13C02" w:rsidP="006030E3">
            <w:pPr>
              <w:jc w:val="center"/>
              <w:rPr>
                <w:rFonts w:ascii="Verdana" w:hAnsi="Verdana"/>
                <w:sz w:val="18"/>
                <w:szCs w:val="18"/>
              </w:rPr>
            </w:pPr>
            <w:r>
              <w:rPr>
                <w:rFonts w:ascii="Verdana" w:hAnsi="Verdana"/>
                <w:sz w:val="18"/>
                <w:szCs w:val="18"/>
              </w:rPr>
              <w:t>1</w:t>
            </w:r>
          </w:p>
        </w:tc>
        <w:tc>
          <w:tcPr>
            <w:tcW w:w="9118" w:type="dxa"/>
          </w:tcPr>
          <w:p w14:paraId="669176B2" w14:textId="77777777" w:rsidR="00A13C02" w:rsidRDefault="00A13C02" w:rsidP="006030E3">
            <w:pPr>
              <w:rPr>
                <w:rFonts w:ascii="Verdana" w:hAnsi="Verdana"/>
                <w:sz w:val="18"/>
                <w:szCs w:val="18"/>
              </w:rPr>
            </w:pPr>
            <w:r>
              <w:rPr>
                <w:rFonts w:ascii="Verdana" w:hAnsi="Verdana"/>
                <w:sz w:val="18"/>
                <w:szCs w:val="18"/>
              </w:rPr>
              <w:t>Niet uit te voeren taken en/of maatregelen met wettelijke of maatschappelijke impact</w:t>
            </w:r>
          </w:p>
        </w:tc>
      </w:tr>
      <w:tr w:rsidR="00A13C02" w14:paraId="6075F442" w14:textId="77777777" w:rsidTr="006030E3">
        <w:tc>
          <w:tcPr>
            <w:tcW w:w="942" w:type="dxa"/>
            <w:shd w:val="clear" w:color="auto" w:fill="FFC000"/>
          </w:tcPr>
          <w:p w14:paraId="4FEF554A" w14:textId="77777777" w:rsidR="00A13C02" w:rsidRDefault="00A13C02" w:rsidP="006030E3">
            <w:pPr>
              <w:jc w:val="center"/>
              <w:rPr>
                <w:rFonts w:ascii="Verdana" w:hAnsi="Verdana"/>
                <w:sz w:val="18"/>
                <w:szCs w:val="18"/>
              </w:rPr>
            </w:pPr>
            <w:r>
              <w:rPr>
                <w:rFonts w:ascii="Verdana" w:hAnsi="Verdana"/>
                <w:sz w:val="18"/>
                <w:szCs w:val="18"/>
              </w:rPr>
              <w:t>2</w:t>
            </w:r>
          </w:p>
        </w:tc>
        <w:tc>
          <w:tcPr>
            <w:tcW w:w="9118" w:type="dxa"/>
          </w:tcPr>
          <w:p w14:paraId="2BA7D3D2" w14:textId="77777777" w:rsidR="00A13C02" w:rsidRDefault="00A13C02" w:rsidP="006030E3">
            <w:pPr>
              <w:rPr>
                <w:rFonts w:ascii="Verdana" w:hAnsi="Verdana"/>
                <w:sz w:val="18"/>
                <w:szCs w:val="18"/>
              </w:rPr>
            </w:pPr>
            <w:r>
              <w:rPr>
                <w:rFonts w:ascii="Verdana" w:hAnsi="Verdana"/>
                <w:sz w:val="18"/>
                <w:szCs w:val="18"/>
              </w:rPr>
              <w:t>Onwenselijke taken en/of maatregelen met politiek maatschappelijke impact (technisch mogelijk)</w:t>
            </w:r>
          </w:p>
        </w:tc>
      </w:tr>
      <w:tr w:rsidR="00A13C02" w14:paraId="6EEF8410" w14:textId="77777777" w:rsidTr="006030E3">
        <w:tc>
          <w:tcPr>
            <w:tcW w:w="942" w:type="dxa"/>
            <w:shd w:val="clear" w:color="auto" w:fill="00B050"/>
          </w:tcPr>
          <w:p w14:paraId="28286111" w14:textId="77777777" w:rsidR="00A13C02" w:rsidRDefault="00A13C02" w:rsidP="006030E3">
            <w:pPr>
              <w:jc w:val="center"/>
              <w:rPr>
                <w:rFonts w:ascii="Verdana" w:hAnsi="Verdana"/>
                <w:sz w:val="18"/>
                <w:szCs w:val="18"/>
              </w:rPr>
            </w:pPr>
            <w:r>
              <w:rPr>
                <w:rFonts w:ascii="Verdana" w:hAnsi="Verdana"/>
                <w:sz w:val="18"/>
                <w:szCs w:val="18"/>
              </w:rPr>
              <w:t>3</w:t>
            </w:r>
          </w:p>
        </w:tc>
        <w:tc>
          <w:tcPr>
            <w:tcW w:w="9118" w:type="dxa"/>
          </w:tcPr>
          <w:p w14:paraId="3020A1E4" w14:textId="77777777" w:rsidR="00A13C02" w:rsidRDefault="00A13C02" w:rsidP="006030E3">
            <w:pPr>
              <w:rPr>
                <w:rFonts w:ascii="Verdana" w:hAnsi="Verdana"/>
                <w:sz w:val="18"/>
                <w:szCs w:val="18"/>
              </w:rPr>
            </w:pPr>
            <w:r>
              <w:rPr>
                <w:rFonts w:ascii="Verdana" w:hAnsi="Verdana"/>
                <w:sz w:val="18"/>
                <w:szCs w:val="18"/>
              </w:rPr>
              <w:t>Niet perse wenselijk (maar relatief beperkt maatschappelijke impact)</w:t>
            </w:r>
          </w:p>
        </w:tc>
      </w:tr>
      <w:tr w:rsidR="00A13C02" w14:paraId="6BA9223E" w14:textId="77777777" w:rsidTr="006030E3">
        <w:tc>
          <w:tcPr>
            <w:tcW w:w="942" w:type="dxa"/>
            <w:shd w:val="clear" w:color="auto" w:fill="00B0F0"/>
          </w:tcPr>
          <w:p w14:paraId="75AA4AA7" w14:textId="77777777" w:rsidR="00A13C02" w:rsidRDefault="00A13C02" w:rsidP="006030E3">
            <w:pPr>
              <w:jc w:val="center"/>
              <w:rPr>
                <w:rFonts w:ascii="Verdana" w:hAnsi="Verdana"/>
                <w:sz w:val="18"/>
                <w:szCs w:val="18"/>
              </w:rPr>
            </w:pPr>
            <w:r>
              <w:rPr>
                <w:rFonts w:ascii="Verdana" w:hAnsi="Verdana"/>
                <w:sz w:val="18"/>
                <w:szCs w:val="18"/>
              </w:rPr>
              <w:t>4</w:t>
            </w:r>
          </w:p>
        </w:tc>
        <w:tc>
          <w:tcPr>
            <w:tcW w:w="9118" w:type="dxa"/>
          </w:tcPr>
          <w:p w14:paraId="20FED7CA" w14:textId="77777777" w:rsidR="00A13C02" w:rsidRDefault="00A13C02" w:rsidP="006030E3">
            <w:pPr>
              <w:rPr>
                <w:rFonts w:ascii="Verdana" w:hAnsi="Verdana"/>
                <w:sz w:val="18"/>
                <w:szCs w:val="18"/>
              </w:rPr>
            </w:pPr>
            <w:r>
              <w:rPr>
                <w:rFonts w:ascii="Verdana" w:hAnsi="Verdana"/>
                <w:sz w:val="18"/>
                <w:szCs w:val="18"/>
              </w:rPr>
              <w:t>Efficiency bevorderende voorstellen in de keten en samenwerkingsvoordelen</w:t>
            </w:r>
          </w:p>
        </w:tc>
      </w:tr>
    </w:tbl>
    <w:p w14:paraId="53DF6CEC" w14:textId="77777777" w:rsidR="00A13C02" w:rsidRDefault="00A13C02" w:rsidP="00A13C02">
      <w:pPr>
        <w:spacing w:after="0" w:line="240" w:lineRule="auto"/>
        <w:contextualSpacing/>
        <w:rPr>
          <w:rFonts w:ascii="Verdana" w:hAnsi="Verdana"/>
          <w:sz w:val="18"/>
          <w:szCs w:val="18"/>
        </w:rPr>
      </w:pPr>
    </w:p>
    <w:p w14:paraId="64EA5FA3" w14:textId="77777777" w:rsidR="000E1043" w:rsidRDefault="000E1043" w:rsidP="000E1043">
      <w:pPr>
        <w:spacing w:after="0" w:line="240" w:lineRule="auto"/>
        <w:contextualSpacing/>
        <w:rPr>
          <w:rFonts w:ascii="Verdana" w:hAnsi="Verdana"/>
          <w:sz w:val="18"/>
          <w:szCs w:val="18"/>
        </w:rPr>
      </w:pPr>
    </w:p>
    <w:p w14:paraId="0331FBC5" w14:textId="77777777" w:rsidR="00A13C02" w:rsidRDefault="00A13C02" w:rsidP="000E1043">
      <w:pPr>
        <w:spacing w:after="0" w:line="240" w:lineRule="auto"/>
        <w:contextualSpacing/>
        <w:rPr>
          <w:rFonts w:ascii="Verdana" w:hAnsi="Verdana"/>
          <w:b/>
          <w:bCs/>
          <w:sz w:val="18"/>
          <w:szCs w:val="18"/>
        </w:rPr>
      </w:pPr>
    </w:p>
    <w:p w14:paraId="386DF09F" w14:textId="6BC5EA59" w:rsidR="000165AC" w:rsidRDefault="0052616E" w:rsidP="000165AC">
      <w:pPr>
        <w:spacing w:after="0" w:line="240" w:lineRule="auto"/>
        <w:contextualSpacing/>
        <w:rPr>
          <w:rFonts w:ascii="Verdana" w:hAnsi="Verdana"/>
          <w:b/>
          <w:bCs/>
          <w:sz w:val="18"/>
          <w:szCs w:val="18"/>
        </w:rPr>
      </w:pPr>
      <w:r>
        <w:rPr>
          <w:rFonts w:ascii="Verdana" w:hAnsi="Verdana"/>
          <w:b/>
          <w:bCs/>
          <w:sz w:val="18"/>
          <w:szCs w:val="18"/>
        </w:rPr>
        <w:t>Risico’s</w:t>
      </w:r>
    </w:p>
    <w:p w14:paraId="754B5E46" w14:textId="151FA48D" w:rsidR="009B3F79" w:rsidRDefault="00054633" w:rsidP="7B0164AA">
      <w:pPr>
        <w:spacing w:after="0" w:line="240" w:lineRule="auto"/>
        <w:contextualSpacing/>
        <w:rPr>
          <w:rFonts w:ascii="Verdana" w:hAnsi="Verdana"/>
          <w:sz w:val="18"/>
          <w:szCs w:val="18"/>
        </w:rPr>
      </w:pPr>
      <w:r w:rsidRPr="7B0164AA">
        <w:rPr>
          <w:rFonts w:ascii="Verdana" w:hAnsi="Verdana"/>
          <w:sz w:val="18"/>
          <w:szCs w:val="18"/>
        </w:rPr>
        <w:t>H</w:t>
      </w:r>
      <w:r w:rsidR="009B3F79" w:rsidRPr="7B0164AA">
        <w:rPr>
          <w:rFonts w:ascii="Verdana" w:hAnsi="Verdana"/>
          <w:sz w:val="18"/>
          <w:szCs w:val="18"/>
        </w:rPr>
        <w:t xml:space="preserve">et </w:t>
      </w:r>
      <w:r w:rsidR="000278A5" w:rsidRPr="7B0164AA">
        <w:rPr>
          <w:rFonts w:ascii="Verdana" w:hAnsi="Verdana"/>
          <w:sz w:val="18"/>
          <w:szCs w:val="18"/>
        </w:rPr>
        <w:t xml:space="preserve">versoberen, </w:t>
      </w:r>
      <w:r w:rsidR="009B3F79" w:rsidRPr="7B0164AA">
        <w:rPr>
          <w:rFonts w:ascii="Verdana" w:hAnsi="Verdana"/>
          <w:sz w:val="18"/>
          <w:szCs w:val="18"/>
        </w:rPr>
        <w:t>staken</w:t>
      </w:r>
      <w:r w:rsidR="00E354EF" w:rsidRPr="7B0164AA">
        <w:rPr>
          <w:rFonts w:ascii="Verdana" w:hAnsi="Verdana"/>
          <w:sz w:val="18"/>
          <w:szCs w:val="18"/>
        </w:rPr>
        <w:t xml:space="preserve"> of </w:t>
      </w:r>
      <w:r w:rsidR="009B3F79" w:rsidRPr="7B0164AA">
        <w:rPr>
          <w:rFonts w:ascii="Verdana" w:hAnsi="Verdana"/>
          <w:sz w:val="18"/>
          <w:szCs w:val="18"/>
        </w:rPr>
        <w:t xml:space="preserve">verminderen van </w:t>
      </w:r>
      <w:r w:rsidRPr="7B0164AA">
        <w:rPr>
          <w:rFonts w:ascii="Verdana" w:hAnsi="Verdana"/>
          <w:sz w:val="18"/>
          <w:szCs w:val="18"/>
        </w:rPr>
        <w:t>(wettelijke</w:t>
      </w:r>
      <w:r w:rsidR="00D340DA" w:rsidRPr="7B0164AA">
        <w:rPr>
          <w:rFonts w:ascii="Verdana" w:hAnsi="Verdana"/>
          <w:sz w:val="18"/>
          <w:szCs w:val="18"/>
        </w:rPr>
        <w:t>)</w:t>
      </w:r>
      <w:r w:rsidRPr="7B0164AA">
        <w:rPr>
          <w:rFonts w:ascii="Verdana" w:hAnsi="Verdana"/>
          <w:sz w:val="18"/>
          <w:szCs w:val="18"/>
        </w:rPr>
        <w:t xml:space="preserve"> </w:t>
      </w:r>
      <w:r w:rsidR="009B3F79" w:rsidRPr="7B0164AA">
        <w:rPr>
          <w:rFonts w:ascii="Verdana" w:hAnsi="Verdana"/>
          <w:sz w:val="18"/>
          <w:szCs w:val="18"/>
        </w:rPr>
        <w:t xml:space="preserve">taken in het uitvoeringsprogramma </w:t>
      </w:r>
      <w:r w:rsidR="00D340DA" w:rsidRPr="7B0164AA">
        <w:rPr>
          <w:rFonts w:ascii="Verdana" w:hAnsi="Verdana"/>
          <w:sz w:val="18"/>
          <w:szCs w:val="18"/>
        </w:rPr>
        <w:t xml:space="preserve">kan </w:t>
      </w:r>
      <w:r w:rsidR="006B4172" w:rsidRPr="7B0164AA">
        <w:rPr>
          <w:rFonts w:ascii="Verdana" w:hAnsi="Verdana"/>
          <w:sz w:val="18"/>
          <w:szCs w:val="18"/>
        </w:rPr>
        <w:t>tot</w:t>
      </w:r>
      <w:r w:rsidR="009B3F79" w:rsidRPr="7B0164AA">
        <w:rPr>
          <w:rFonts w:ascii="Verdana" w:hAnsi="Verdana"/>
          <w:sz w:val="18"/>
          <w:szCs w:val="18"/>
        </w:rPr>
        <w:t xml:space="preserve"> gevolg hebben </w:t>
      </w:r>
      <w:r w:rsidR="00923F11" w:rsidRPr="7B0164AA">
        <w:rPr>
          <w:rFonts w:ascii="Verdana" w:hAnsi="Verdana"/>
          <w:sz w:val="18"/>
          <w:szCs w:val="18"/>
        </w:rPr>
        <w:t>dat</w:t>
      </w:r>
      <w:r w:rsidR="4E54E33F" w:rsidRPr="7B0164AA">
        <w:rPr>
          <w:rFonts w:ascii="Verdana" w:hAnsi="Verdana"/>
          <w:sz w:val="18"/>
          <w:szCs w:val="18"/>
        </w:rPr>
        <w:t xml:space="preserve"> de, door het algemeen bestuur vastgestelde,</w:t>
      </w:r>
      <w:r w:rsidR="00923F11" w:rsidRPr="7B0164AA">
        <w:rPr>
          <w:rFonts w:ascii="Verdana" w:hAnsi="Verdana"/>
          <w:sz w:val="18"/>
          <w:szCs w:val="18"/>
        </w:rPr>
        <w:t xml:space="preserve"> </w:t>
      </w:r>
      <w:r w:rsidR="00D340DA" w:rsidRPr="7B0164AA">
        <w:rPr>
          <w:rFonts w:ascii="Verdana" w:hAnsi="Verdana"/>
          <w:sz w:val="18"/>
          <w:szCs w:val="18"/>
        </w:rPr>
        <w:t>U&amp;H</w:t>
      </w:r>
      <w:r w:rsidR="009B3F79" w:rsidRPr="7B0164AA">
        <w:rPr>
          <w:rFonts w:ascii="Verdana" w:hAnsi="Verdana"/>
          <w:sz w:val="18"/>
          <w:szCs w:val="18"/>
        </w:rPr>
        <w:t xml:space="preserve"> strategie</w:t>
      </w:r>
      <w:r w:rsidR="00923F11" w:rsidRPr="7B0164AA">
        <w:rPr>
          <w:rFonts w:ascii="Verdana" w:hAnsi="Verdana"/>
          <w:sz w:val="18"/>
          <w:szCs w:val="18"/>
        </w:rPr>
        <w:t xml:space="preserve"> en/of wetgeving </w:t>
      </w:r>
      <w:r w:rsidR="00080F3B" w:rsidRPr="7B0164AA">
        <w:rPr>
          <w:rFonts w:ascii="Verdana" w:hAnsi="Verdana"/>
          <w:sz w:val="18"/>
          <w:szCs w:val="18"/>
        </w:rPr>
        <w:t xml:space="preserve">niet (volledig) </w:t>
      </w:r>
      <w:r w:rsidR="640EB1A0" w:rsidRPr="7B0164AA">
        <w:rPr>
          <w:rFonts w:ascii="Verdana" w:hAnsi="Verdana"/>
          <w:sz w:val="18"/>
          <w:szCs w:val="18"/>
        </w:rPr>
        <w:t xml:space="preserve">kan worden </w:t>
      </w:r>
      <w:r w:rsidR="00080F3B" w:rsidRPr="7B0164AA">
        <w:rPr>
          <w:rFonts w:ascii="Verdana" w:hAnsi="Verdana"/>
          <w:sz w:val="18"/>
          <w:szCs w:val="18"/>
        </w:rPr>
        <w:t>uitgevoerd</w:t>
      </w:r>
      <w:r w:rsidR="78AD87B1" w:rsidRPr="7B0164AA">
        <w:rPr>
          <w:rFonts w:ascii="Verdana" w:hAnsi="Verdana"/>
          <w:sz w:val="18"/>
          <w:szCs w:val="18"/>
        </w:rPr>
        <w:t xml:space="preserve">. Dit </w:t>
      </w:r>
      <w:r w:rsidR="76AEBB41" w:rsidRPr="7B0164AA">
        <w:rPr>
          <w:rFonts w:ascii="Verdana" w:hAnsi="Verdana"/>
          <w:sz w:val="18"/>
          <w:szCs w:val="18"/>
        </w:rPr>
        <w:t>kan leiden</w:t>
      </w:r>
      <w:r w:rsidR="78AD87B1" w:rsidRPr="7B0164AA">
        <w:rPr>
          <w:rFonts w:ascii="Verdana" w:hAnsi="Verdana"/>
          <w:sz w:val="18"/>
          <w:szCs w:val="18"/>
        </w:rPr>
        <w:t xml:space="preserve"> tot v</w:t>
      </w:r>
      <w:r w:rsidR="009B3F79" w:rsidRPr="7B0164AA">
        <w:rPr>
          <w:rFonts w:ascii="Verdana" w:hAnsi="Verdana"/>
          <w:sz w:val="18"/>
          <w:szCs w:val="18"/>
        </w:rPr>
        <w:t>erhoogde risico’s met maatschappelijk</w:t>
      </w:r>
      <w:r w:rsidR="001B0F1C">
        <w:rPr>
          <w:rFonts w:ascii="Verdana" w:hAnsi="Verdana"/>
          <w:sz w:val="18"/>
          <w:szCs w:val="18"/>
        </w:rPr>
        <w:t>e</w:t>
      </w:r>
      <w:r w:rsidR="009B3F79" w:rsidRPr="7B0164AA">
        <w:rPr>
          <w:rFonts w:ascii="Verdana" w:hAnsi="Verdana"/>
          <w:sz w:val="18"/>
          <w:szCs w:val="18"/>
        </w:rPr>
        <w:t xml:space="preserve"> impact</w:t>
      </w:r>
      <w:r w:rsidR="7D17F183" w:rsidRPr="7B0164AA">
        <w:rPr>
          <w:rFonts w:ascii="Verdana" w:hAnsi="Verdana"/>
          <w:sz w:val="18"/>
          <w:szCs w:val="18"/>
        </w:rPr>
        <w:t xml:space="preserve">. </w:t>
      </w:r>
      <w:r w:rsidR="52462DD1" w:rsidRPr="7B0164AA">
        <w:rPr>
          <w:rFonts w:ascii="Verdana" w:hAnsi="Verdana"/>
          <w:sz w:val="18"/>
          <w:szCs w:val="18"/>
        </w:rPr>
        <w:t>Op basis van de reacties op de door de OD NHN aangeboden Kadernota 2026, is reeds duidelijk geworden dat de uitvoering van een aantal sterk gegroeide taken zal moe</w:t>
      </w:r>
      <w:r w:rsidR="59EC8ABC" w:rsidRPr="7B0164AA">
        <w:rPr>
          <w:rFonts w:ascii="Verdana" w:hAnsi="Verdana"/>
          <w:sz w:val="18"/>
          <w:szCs w:val="18"/>
        </w:rPr>
        <w:t>ten worden versoberd en dat nieuwe wettelijke tak</w:t>
      </w:r>
      <w:r w:rsidR="001B0F1C">
        <w:rPr>
          <w:rFonts w:ascii="Verdana" w:hAnsi="Verdana"/>
          <w:sz w:val="18"/>
          <w:szCs w:val="18"/>
        </w:rPr>
        <w:t>en</w:t>
      </w:r>
      <w:r w:rsidR="59EC8ABC" w:rsidRPr="7B0164AA">
        <w:rPr>
          <w:rFonts w:ascii="Verdana" w:hAnsi="Verdana"/>
          <w:sz w:val="18"/>
          <w:szCs w:val="18"/>
        </w:rPr>
        <w:t xml:space="preserve"> niet </w:t>
      </w:r>
      <w:r w:rsidR="007A5531">
        <w:rPr>
          <w:rFonts w:ascii="Verdana" w:hAnsi="Verdana"/>
          <w:sz w:val="18"/>
          <w:szCs w:val="18"/>
        </w:rPr>
        <w:t xml:space="preserve">zullen </w:t>
      </w:r>
      <w:r w:rsidR="59EC8ABC" w:rsidRPr="7B0164AA">
        <w:rPr>
          <w:rFonts w:ascii="Verdana" w:hAnsi="Verdana"/>
          <w:sz w:val="18"/>
          <w:szCs w:val="18"/>
        </w:rPr>
        <w:t>worden uitgevoerd.</w:t>
      </w:r>
    </w:p>
    <w:p w14:paraId="4A89D528" w14:textId="77777777" w:rsidR="009B3F79" w:rsidRPr="00DE5904" w:rsidRDefault="009B3F79" w:rsidP="000165AC">
      <w:pPr>
        <w:spacing w:after="0" w:line="240" w:lineRule="auto"/>
        <w:contextualSpacing/>
        <w:rPr>
          <w:rFonts w:ascii="Verdana" w:hAnsi="Verdana"/>
          <w:b/>
          <w:bCs/>
          <w:sz w:val="18"/>
          <w:szCs w:val="18"/>
        </w:rPr>
      </w:pPr>
    </w:p>
    <w:p w14:paraId="7398A326" w14:textId="7861C92F" w:rsidR="00AC1F35" w:rsidRDefault="000165AC" w:rsidP="000165AC">
      <w:pPr>
        <w:spacing w:after="0" w:line="240" w:lineRule="auto"/>
        <w:contextualSpacing/>
        <w:rPr>
          <w:rFonts w:ascii="Verdana" w:hAnsi="Verdana"/>
          <w:sz w:val="18"/>
          <w:szCs w:val="18"/>
        </w:rPr>
      </w:pPr>
      <w:r w:rsidRPr="011715BE">
        <w:rPr>
          <w:rFonts w:ascii="Verdana" w:hAnsi="Verdana"/>
          <w:sz w:val="18"/>
          <w:szCs w:val="18"/>
        </w:rPr>
        <w:t xml:space="preserve">Op basis van het </w:t>
      </w:r>
      <w:r w:rsidR="00FE30C7" w:rsidRPr="011715BE">
        <w:rPr>
          <w:rFonts w:ascii="Verdana" w:hAnsi="Verdana"/>
          <w:sz w:val="18"/>
          <w:szCs w:val="18"/>
        </w:rPr>
        <w:t>P</w:t>
      </w:r>
      <w:r w:rsidRPr="011715BE">
        <w:rPr>
          <w:rFonts w:ascii="Verdana" w:hAnsi="Verdana"/>
          <w:sz w:val="18"/>
          <w:szCs w:val="18"/>
        </w:rPr>
        <w:t xml:space="preserve">lan van </w:t>
      </w:r>
      <w:r w:rsidR="00FE30C7" w:rsidRPr="011715BE">
        <w:rPr>
          <w:rFonts w:ascii="Verdana" w:hAnsi="Verdana"/>
          <w:sz w:val="18"/>
          <w:szCs w:val="18"/>
        </w:rPr>
        <w:t>A</w:t>
      </w:r>
      <w:r w:rsidRPr="011715BE">
        <w:rPr>
          <w:rFonts w:ascii="Verdana" w:hAnsi="Verdana"/>
          <w:sz w:val="18"/>
          <w:szCs w:val="18"/>
        </w:rPr>
        <w:t xml:space="preserve">anpak </w:t>
      </w:r>
      <w:r w:rsidR="00FE30C7" w:rsidRPr="011715BE">
        <w:rPr>
          <w:rFonts w:ascii="Verdana" w:hAnsi="Verdana"/>
          <w:sz w:val="18"/>
          <w:szCs w:val="18"/>
        </w:rPr>
        <w:t>R</w:t>
      </w:r>
      <w:r w:rsidRPr="011715BE">
        <w:rPr>
          <w:rFonts w:ascii="Verdana" w:hAnsi="Verdana"/>
          <w:sz w:val="18"/>
          <w:szCs w:val="18"/>
        </w:rPr>
        <w:t xml:space="preserve">obuustheid zullen de komende jaren juist investeringen in plaats van besparingen noodzakelijk </w:t>
      </w:r>
      <w:r w:rsidR="0023449F" w:rsidRPr="011715BE">
        <w:rPr>
          <w:rFonts w:ascii="Verdana" w:hAnsi="Verdana"/>
          <w:sz w:val="18"/>
          <w:szCs w:val="18"/>
        </w:rPr>
        <w:t xml:space="preserve">zijn </w:t>
      </w:r>
      <w:r w:rsidRPr="011715BE">
        <w:rPr>
          <w:rFonts w:ascii="Verdana" w:hAnsi="Verdana"/>
          <w:sz w:val="18"/>
          <w:szCs w:val="18"/>
        </w:rPr>
        <w:t>om aan de robuustheidcriteria te kunnen voldoen</w:t>
      </w:r>
      <w:r w:rsidR="04658A06" w:rsidRPr="011715BE">
        <w:rPr>
          <w:rFonts w:ascii="Verdana" w:hAnsi="Verdana"/>
          <w:sz w:val="18"/>
          <w:szCs w:val="18"/>
        </w:rPr>
        <w:t xml:space="preserve"> (en daarmee nu en in de toekomst een voldoende stevige en wensbare organisatie te hebben om de groeiende en dynamische opgaven in het fysieke domein aan te kunnen)</w:t>
      </w:r>
      <w:r w:rsidRPr="011715BE">
        <w:rPr>
          <w:rFonts w:ascii="Verdana" w:hAnsi="Verdana"/>
          <w:sz w:val="18"/>
          <w:szCs w:val="18"/>
        </w:rPr>
        <w:t>. Er zijn dan ook geen voorstellen gedaan voor besparing</w:t>
      </w:r>
      <w:r w:rsidR="00203870" w:rsidRPr="011715BE">
        <w:rPr>
          <w:rFonts w:ascii="Verdana" w:hAnsi="Verdana"/>
          <w:sz w:val="18"/>
          <w:szCs w:val="18"/>
        </w:rPr>
        <w:t>en</w:t>
      </w:r>
      <w:r w:rsidRPr="011715BE">
        <w:rPr>
          <w:rFonts w:ascii="Verdana" w:hAnsi="Verdana"/>
          <w:sz w:val="18"/>
          <w:szCs w:val="18"/>
        </w:rPr>
        <w:t xml:space="preserve"> op de</w:t>
      </w:r>
      <w:r w:rsidR="000549E0" w:rsidRPr="011715BE">
        <w:rPr>
          <w:rFonts w:ascii="Verdana" w:hAnsi="Verdana"/>
          <w:sz w:val="18"/>
          <w:szCs w:val="18"/>
        </w:rPr>
        <w:t xml:space="preserve"> thema’s in het Plan van Aanpak Robuustheid</w:t>
      </w:r>
      <w:r w:rsidR="009A0979" w:rsidRPr="011715BE">
        <w:rPr>
          <w:rFonts w:ascii="Verdana" w:hAnsi="Verdana"/>
          <w:sz w:val="18"/>
          <w:szCs w:val="18"/>
        </w:rPr>
        <w:t xml:space="preserve"> (bijv. opleidingskosten)</w:t>
      </w:r>
      <w:r w:rsidRPr="011715BE">
        <w:rPr>
          <w:rFonts w:ascii="Verdana" w:hAnsi="Verdana"/>
          <w:sz w:val="18"/>
          <w:szCs w:val="18"/>
        </w:rPr>
        <w:t xml:space="preserve">. </w:t>
      </w:r>
    </w:p>
    <w:p w14:paraId="07586C69" w14:textId="77777777" w:rsidR="00291C0B" w:rsidRDefault="00291C0B" w:rsidP="000165AC">
      <w:pPr>
        <w:spacing w:after="0" w:line="240" w:lineRule="auto"/>
        <w:contextualSpacing/>
        <w:rPr>
          <w:rFonts w:ascii="Verdana" w:hAnsi="Verdana"/>
          <w:sz w:val="18"/>
          <w:szCs w:val="18"/>
        </w:rPr>
      </w:pPr>
    </w:p>
    <w:p w14:paraId="560A5F28" w14:textId="1DF2D7D4" w:rsidR="005541C4" w:rsidRDefault="00F42D37" w:rsidP="0083523B">
      <w:pPr>
        <w:spacing w:after="0" w:line="240" w:lineRule="auto"/>
        <w:contextualSpacing/>
        <w:rPr>
          <w:rFonts w:ascii="Verdana" w:hAnsi="Verdana"/>
          <w:sz w:val="18"/>
          <w:szCs w:val="18"/>
        </w:rPr>
      </w:pPr>
      <w:r w:rsidRPr="011715BE">
        <w:rPr>
          <w:rFonts w:ascii="Verdana" w:hAnsi="Verdana"/>
          <w:sz w:val="18"/>
          <w:szCs w:val="18"/>
        </w:rPr>
        <w:t xml:space="preserve">Het versoberen, staken of verminderen van (wettelijke) taken </w:t>
      </w:r>
      <w:r w:rsidR="000165AC" w:rsidRPr="011715BE">
        <w:rPr>
          <w:rFonts w:ascii="Verdana" w:hAnsi="Verdana"/>
          <w:sz w:val="18"/>
          <w:szCs w:val="18"/>
        </w:rPr>
        <w:t xml:space="preserve">in het uitvoeringsprogramma </w:t>
      </w:r>
      <w:r w:rsidR="1A5379B2" w:rsidRPr="011715BE">
        <w:rPr>
          <w:rFonts w:ascii="Verdana" w:hAnsi="Verdana"/>
          <w:sz w:val="18"/>
          <w:szCs w:val="18"/>
        </w:rPr>
        <w:t xml:space="preserve">vormen </w:t>
      </w:r>
      <w:r w:rsidR="000165AC" w:rsidRPr="011715BE">
        <w:rPr>
          <w:rFonts w:ascii="Verdana" w:hAnsi="Verdana"/>
          <w:sz w:val="18"/>
          <w:szCs w:val="18"/>
        </w:rPr>
        <w:t>een besparing op de uitgaven aan het uitvoeringsprogramma</w:t>
      </w:r>
      <w:r w:rsidR="00203870" w:rsidRPr="011715BE">
        <w:rPr>
          <w:rFonts w:ascii="Verdana" w:hAnsi="Verdana"/>
          <w:sz w:val="18"/>
          <w:szCs w:val="18"/>
        </w:rPr>
        <w:t>,</w:t>
      </w:r>
      <w:r w:rsidR="000165AC" w:rsidRPr="011715BE">
        <w:rPr>
          <w:rFonts w:ascii="Verdana" w:hAnsi="Verdana"/>
          <w:sz w:val="18"/>
          <w:szCs w:val="18"/>
        </w:rPr>
        <w:t xml:space="preserve"> maar </w:t>
      </w:r>
      <w:r w:rsidR="34676151" w:rsidRPr="011715BE">
        <w:rPr>
          <w:rFonts w:ascii="Verdana" w:hAnsi="Verdana"/>
          <w:sz w:val="18"/>
          <w:szCs w:val="18"/>
        </w:rPr>
        <w:t xml:space="preserve">geven </w:t>
      </w:r>
      <w:r w:rsidR="00EB2F80" w:rsidRPr="011715BE">
        <w:rPr>
          <w:rFonts w:ascii="Verdana" w:hAnsi="Verdana"/>
          <w:sz w:val="18"/>
          <w:szCs w:val="18"/>
        </w:rPr>
        <w:t xml:space="preserve">mogelijk </w:t>
      </w:r>
      <w:r w:rsidR="000165AC" w:rsidRPr="011715BE">
        <w:rPr>
          <w:rFonts w:ascii="Verdana" w:hAnsi="Verdana"/>
          <w:sz w:val="18"/>
          <w:szCs w:val="18"/>
        </w:rPr>
        <w:t xml:space="preserve">geen directe besparing voor de deelnemers of de OD NHN </w:t>
      </w:r>
      <w:r w:rsidR="308C0884" w:rsidRPr="011715BE">
        <w:rPr>
          <w:rFonts w:ascii="Verdana" w:hAnsi="Verdana"/>
          <w:sz w:val="18"/>
          <w:szCs w:val="18"/>
        </w:rPr>
        <w:t xml:space="preserve">per 1 januari </w:t>
      </w:r>
      <w:r w:rsidR="00981584" w:rsidRPr="011715BE">
        <w:rPr>
          <w:rFonts w:ascii="Verdana" w:hAnsi="Verdana"/>
          <w:sz w:val="18"/>
          <w:szCs w:val="18"/>
        </w:rPr>
        <w:t>2026</w:t>
      </w:r>
      <w:r w:rsidR="000165AC" w:rsidRPr="011715BE">
        <w:rPr>
          <w:rFonts w:ascii="Verdana" w:hAnsi="Verdana"/>
          <w:sz w:val="18"/>
          <w:szCs w:val="18"/>
        </w:rPr>
        <w:t xml:space="preserve">. Dit als gevolg van </w:t>
      </w:r>
      <w:r w:rsidR="00D346B6" w:rsidRPr="011715BE">
        <w:rPr>
          <w:rFonts w:ascii="Verdana" w:hAnsi="Verdana"/>
          <w:sz w:val="18"/>
          <w:szCs w:val="18"/>
        </w:rPr>
        <w:t xml:space="preserve">mogelijke </w:t>
      </w:r>
      <w:r w:rsidR="00C946E9" w:rsidRPr="011715BE">
        <w:rPr>
          <w:rFonts w:ascii="Verdana" w:hAnsi="Verdana"/>
          <w:sz w:val="18"/>
          <w:szCs w:val="18"/>
        </w:rPr>
        <w:t>verplichtingen voorvloeiend uit de</w:t>
      </w:r>
      <w:r w:rsidR="000165AC" w:rsidRPr="011715BE">
        <w:rPr>
          <w:rFonts w:ascii="Verdana" w:hAnsi="Verdana"/>
          <w:sz w:val="18"/>
          <w:szCs w:val="18"/>
        </w:rPr>
        <w:t xml:space="preserve"> uittredingregels</w:t>
      </w:r>
      <w:r w:rsidR="00415640" w:rsidRPr="011715BE">
        <w:rPr>
          <w:rFonts w:ascii="Verdana" w:hAnsi="Verdana"/>
          <w:sz w:val="18"/>
          <w:szCs w:val="18"/>
        </w:rPr>
        <w:t xml:space="preserve">, </w:t>
      </w:r>
      <w:r w:rsidR="000165AC" w:rsidRPr="011715BE">
        <w:rPr>
          <w:rFonts w:ascii="Verdana" w:hAnsi="Verdana"/>
          <w:sz w:val="18"/>
          <w:szCs w:val="18"/>
        </w:rPr>
        <w:t xml:space="preserve">een </w:t>
      </w:r>
      <w:r w:rsidR="005812E2" w:rsidRPr="011715BE">
        <w:rPr>
          <w:rFonts w:ascii="Verdana" w:hAnsi="Verdana"/>
          <w:sz w:val="18"/>
          <w:szCs w:val="18"/>
        </w:rPr>
        <w:t xml:space="preserve">te volgen </w:t>
      </w:r>
      <w:r w:rsidR="000165AC" w:rsidRPr="011715BE">
        <w:rPr>
          <w:rFonts w:ascii="Verdana" w:hAnsi="Verdana"/>
          <w:sz w:val="18"/>
          <w:szCs w:val="18"/>
        </w:rPr>
        <w:t>reorganisatieproces met mogelijke transitievergoedingen v</w:t>
      </w:r>
      <w:r w:rsidR="007D4D6D" w:rsidRPr="011715BE">
        <w:rPr>
          <w:rFonts w:ascii="Verdana" w:hAnsi="Verdana"/>
          <w:sz w:val="18"/>
          <w:szCs w:val="18"/>
        </w:rPr>
        <w:t>oor</w:t>
      </w:r>
      <w:r w:rsidR="000165AC" w:rsidRPr="011715BE">
        <w:rPr>
          <w:rFonts w:ascii="Verdana" w:hAnsi="Verdana"/>
          <w:sz w:val="18"/>
          <w:szCs w:val="18"/>
        </w:rPr>
        <w:t xml:space="preserve"> OD NHN</w:t>
      </w:r>
      <w:r w:rsidR="007D4D6D" w:rsidRPr="011715BE">
        <w:rPr>
          <w:rFonts w:ascii="Verdana" w:hAnsi="Verdana"/>
          <w:sz w:val="18"/>
          <w:szCs w:val="18"/>
        </w:rPr>
        <w:t xml:space="preserve"> medewerkers</w:t>
      </w:r>
      <w:r w:rsidR="000165AC" w:rsidRPr="011715BE">
        <w:rPr>
          <w:rFonts w:ascii="Verdana" w:hAnsi="Verdana"/>
          <w:sz w:val="18"/>
          <w:szCs w:val="18"/>
        </w:rPr>
        <w:t xml:space="preserve"> tot gevolg</w:t>
      </w:r>
      <w:r w:rsidR="00415640" w:rsidRPr="011715BE">
        <w:rPr>
          <w:rFonts w:ascii="Verdana" w:hAnsi="Verdana"/>
          <w:sz w:val="18"/>
          <w:szCs w:val="18"/>
        </w:rPr>
        <w:t xml:space="preserve"> en/of </w:t>
      </w:r>
      <w:r w:rsidR="009C5201" w:rsidRPr="011715BE">
        <w:rPr>
          <w:rFonts w:ascii="Verdana" w:hAnsi="Verdana"/>
          <w:sz w:val="18"/>
          <w:szCs w:val="18"/>
        </w:rPr>
        <w:t>de (wettelijke) taken</w:t>
      </w:r>
      <w:r w:rsidR="00A1787F" w:rsidRPr="011715BE">
        <w:rPr>
          <w:rFonts w:ascii="Verdana" w:hAnsi="Verdana"/>
          <w:sz w:val="18"/>
          <w:szCs w:val="18"/>
        </w:rPr>
        <w:t xml:space="preserve"> in de voorgestelde besparingsmaatregelen door de deelnemer </w:t>
      </w:r>
      <w:r w:rsidR="005D0C5C" w:rsidRPr="011715BE">
        <w:rPr>
          <w:rFonts w:ascii="Verdana" w:hAnsi="Verdana"/>
          <w:sz w:val="18"/>
          <w:szCs w:val="18"/>
        </w:rPr>
        <w:t xml:space="preserve">zelfstandig </w:t>
      </w:r>
      <w:r w:rsidR="002D48EF" w:rsidRPr="011715BE">
        <w:rPr>
          <w:rFonts w:ascii="Verdana" w:hAnsi="Verdana"/>
          <w:sz w:val="18"/>
          <w:szCs w:val="18"/>
        </w:rPr>
        <w:t>moet</w:t>
      </w:r>
      <w:r w:rsidR="00A1787F" w:rsidRPr="011715BE">
        <w:rPr>
          <w:rFonts w:ascii="Verdana" w:hAnsi="Verdana"/>
          <w:sz w:val="18"/>
          <w:szCs w:val="18"/>
        </w:rPr>
        <w:t xml:space="preserve"> worden</w:t>
      </w:r>
      <w:r w:rsidR="002D48EF" w:rsidRPr="011715BE">
        <w:rPr>
          <w:rFonts w:ascii="Verdana" w:hAnsi="Verdana"/>
          <w:sz w:val="18"/>
          <w:szCs w:val="18"/>
        </w:rPr>
        <w:t xml:space="preserve"> uit</w:t>
      </w:r>
      <w:r w:rsidR="00A1787F" w:rsidRPr="011715BE">
        <w:rPr>
          <w:rFonts w:ascii="Verdana" w:hAnsi="Verdana"/>
          <w:sz w:val="18"/>
          <w:szCs w:val="18"/>
        </w:rPr>
        <w:t>ge</w:t>
      </w:r>
      <w:r w:rsidR="002D48EF" w:rsidRPr="011715BE">
        <w:rPr>
          <w:rFonts w:ascii="Verdana" w:hAnsi="Verdana"/>
          <w:sz w:val="18"/>
          <w:szCs w:val="18"/>
        </w:rPr>
        <w:t>vo</w:t>
      </w:r>
      <w:r w:rsidR="00A1787F" w:rsidRPr="011715BE">
        <w:rPr>
          <w:rFonts w:ascii="Verdana" w:hAnsi="Verdana"/>
          <w:sz w:val="18"/>
          <w:szCs w:val="18"/>
        </w:rPr>
        <w:t>erd</w:t>
      </w:r>
      <w:r w:rsidR="002D48EF" w:rsidRPr="011715BE">
        <w:rPr>
          <w:rFonts w:ascii="Verdana" w:hAnsi="Verdana"/>
          <w:sz w:val="18"/>
          <w:szCs w:val="18"/>
        </w:rPr>
        <w:t>.</w:t>
      </w:r>
      <w:r w:rsidR="491CA01F" w:rsidRPr="011715BE">
        <w:rPr>
          <w:rFonts w:ascii="Verdana" w:hAnsi="Verdana"/>
          <w:sz w:val="18"/>
          <w:szCs w:val="18"/>
        </w:rPr>
        <w:t xml:space="preserve"> </w:t>
      </w:r>
      <w:r w:rsidR="005541C4" w:rsidRPr="011715BE">
        <w:rPr>
          <w:rFonts w:ascii="Verdana" w:hAnsi="Verdana"/>
          <w:sz w:val="18"/>
          <w:szCs w:val="18"/>
        </w:rPr>
        <w:t xml:space="preserve">De </w:t>
      </w:r>
      <w:r w:rsidR="000A40A5" w:rsidRPr="011715BE">
        <w:rPr>
          <w:rFonts w:ascii="Verdana" w:hAnsi="Verdana"/>
          <w:sz w:val="18"/>
          <w:szCs w:val="18"/>
        </w:rPr>
        <w:t>getoonde</w:t>
      </w:r>
      <w:r w:rsidR="005541C4" w:rsidRPr="011715BE">
        <w:rPr>
          <w:rFonts w:ascii="Verdana" w:hAnsi="Verdana"/>
          <w:sz w:val="18"/>
          <w:szCs w:val="18"/>
        </w:rPr>
        <w:t xml:space="preserve"> bedragen zijn </w:t>
      </w:r>
      <w:r w:rsidR="000A40A5" w:rsidRPr="011715BE">
        <w:rPr>
          <w:rFonts w:ascii="Verdana" w:hAnsi="Verdana"/>
          <w:sz w:val="18"/>
          <w:szCs w:val="18"/>
        </w:rPr>
        <w:t>een mogelijke besparing binnen de begroting van OD NHN</w:t>
      </w:r>
      <w:r w:rsidR="00D1424A" w:rsidRPr="011715BE">
        <w:rPr>
          <w:rFonts w:ascii="Verdana" w:hAnsi="Verdana"/>
          <w:sz w:val="18"/>
          <w:szCs w:val="18"/>
        </w:rPr>
        <w:t xml:space="preserve">. Er is geen overzicht en/of impactanalyse </w:t>
      </w:r>
      <w:r w:rsidR="00C74C18" w:rsidRPr="011715BE">
        <w:rPr>
          <w:rFonts w:ascii="Verdana" w:hAnsi="Verdana"/>
          <w:sz w:val="18"/>
          <w:szCs w:val="18"/>
        </w:rPr>
        <w:t xml:space="preserve">van de voorstelde besparingen </w:t>
      </w:r>
      <w:r w:rsidR="00D1424A" w:rsidRPr="011715BE">
        <w:rPr>
          <w:rFonts w:ascii="Verdana" w:hAnsi="Verdana"/>
          <w:sz w:val="18"/>
          <w:szCs w:val="18"/>
        </w:rPr>
        <w:t>per indi</w:t>
      </w:r>
      <w:r w:rsidR="00C74C18" w:rsidRPr="011715BE">
        <w:rPr>
          <w:rFonts w:ascii="Verdana" w:hAnsi="Verdana"/>
          <w:sz w:val="18"/>
          <w:szCs w:val="18"/>
        </w:rPr>
        <w:t>viduele deelnemer.</w:t>
      </w:r>
    </w:p>
    <w:p w14:paraId="2A6D326C" w14:textId="77777777" w:rsidR="000B3450" w:rsidRDefault="000B3450" w:rsidP="004665C1">
      <w:pPr>
        <w:spacing w:after="0" w:line="240" w:lineRule="auto"/>
        <w:contextualSpacing/>
        <w:rPr>
          <w:rFonts w:ascii="Verdana" w:hAnsi="Verdana"/>
          <w:sz w:val="18"/>
          <w:szCs w:val="18"/>
        </w:rPr>
      </w:pPr>
    </w:p>
    <w:p w14:paraId="41866DF9" w14:textId="561C9047" w:rsidR="004665C1" w:rsidRDefault="004665C1" w:rsidP="004665C1">
      <w:pPr>
        <w:spacing w:after="0" w:line="240" w:lineRule="auto"/>
        <w:contextualSpacing/>
        <w:rPr>
          <w:rFonts w:ascii="Verdana" w:hAnsi="Verdana"/>
          <w:sz w:val="18"/>
          <w:szCs w:val="18"/>
        </w:rPr>
      </w:pPr>
      <w:r w:rsidRPr="011715BE">
        <w:rPr>
          <w:rFonts w:ascii="Verdana" w:hAnsi="Verdana"/>
          <w:sz w:val="18"/>
          <w:szCs w:val="18"/>
        </w:rPr>
        <w:t xml:space="preserve">Het aandeel lumpsum </w:t>
      </w:r>
      <w:r w:rsidR="46DF6FD2" w:rsidRPr="011715BE">
        <w:rPr>
          <w:rFonts w:ascii="Verdana" w:hAnsi="Verdana"/>
          <w:sz w:val="18"/>
          <w:szCs w:val="18"/>
        </w:rPr>
        <w:t xml:space="preserve">in de begroting van de OD NHN </w:t>
      </w:r>
      <w:r w:rsidRPr="011715BE">
        <w:rPr>
          <w:rFonts w:ascii="Verdana" w:hAnsi="Verdana"/>
          <w:sz w:val="18"/>
          <w:szCs w:val="18"/>
        </w:rPr>
        <w:t xml:space="preserve">zal bij effectuering van de voorgestelde besparingsmaatregelen een groter aandeel overhead bevatten. Dit zal leiden tot extra administratieve complexiteit van te hanteren tarieven en bijdrage aan de overhead tussen gemeentelijke deelnemers en de provincie. </w:t>
      </w:r>
    </w:p>
    <w:p w14:paraId="6E9B31A9" w14:textId="2BB4D406" w:rsidR="000165AC" w:rsidRPr="007B357E" w:rsidRDefault="000165AC" w:rsidP="000165AC">
      <w:pPr>
        <w:spacing w:after="0" w:line="240" w:lineRule="auto"/>
        <w:contextualSpacing/>
        <w:rPr>
          <w:rFonts w:ascii="Verdana" w:hAnsi="Verdana"/>
          <w:sz w:val="18"/>
          <w:szCs w:val="18"/>
        </w:rPr>
      </w:pPr>
    </w:p>
    <w:p w14:paraId="52CD247E" w14:textId="5025FFBB" w:rsidR="000165AC" w:rsidRPr="00A10056" w:rsidRDefault="4287F220" w:rsidP="000165AC">
      <w:pPr>
        <w:spacing w:after="0" w:line="240" w:lineRule="auto"/>
        <w:contextualSpacing/>
        <w:rPr>
          <w:rFonts w:ascii="Verdana" w:hAnsi="Verdana" w:cs="Arial"/>
          <w:b/>
          <w:bCs/>
          <w:sz w:val="18"/>
          <w:szCs w:val="18"/>
        </w:rPr>
      </w:pPr>
      <w:r w:rsidRPr="7B0164AA">
        <w:rPr>
          <w:rFonts w:ascii="Verdana" w:hAnsi="Verdana" w:cs="Arial"/>
          <w:b/>
          <w:bCs/>
          <w:sz w:val="18"/>
          <w:szCs w:val="18"/>
        </w:rPr>
        <w:t xml:space="preserve">Gemeenschappelijke regeling: alleen ga je sneller, samen kom je verder </w:t>
      </w:r>
    </w:p>
    <w:p w14:paraId="22FDD89B" w14:textId="547D1B35" w:rsidR="000165AC" w:rsidRPr="007B357E" w:rsidRDefault="000165AC" w:rsidP="000165AC">
      <w:pPr>
        <w:spacing w:after="0" w:line="240" w:lineRule="auto"/>
        <w:contextualSpacing/>
        <w:rPr>
          <w:rFonts w:ascii="Verdana" w:hAnsi="Verdana" w:cs="Arial"/>
          <w:sz w:val="18"/>
          <w:szCs w:val="18"/>
        </w:rPr>
      </w:pPr>
      <w:r w:rsidRPr="011715BE">
        <w:rPr>
          <w:rFonts w:ascii="Verdana" w:hAnsi="Verdana" w:cs="Arial"/>
          <w:sz w:val="18"/>
          <w:szCs w:val="18"/>
        </w:rPr>
        <w:t xml:space="preserve">Door werkzaamheden te concentreren en te beleggen bij OD NHN </w:t>
      </w:r>
      <w:r w:rsidR="1058C343" w:rsidRPr="011715BE">
        <w:rPr>
          <w:rFonts w:ascii="Verdana" w:hAnsi="Verdana" w:cs="Arial"/>
          <w:sz w:val="18"/>
          <w:szCs w:val="18"/>
        </w:rPr>
        <w:t xml:space="preserve">wordt </w:t>
      </w:r>
      <w:r w:rsidRPr="011715BE">
        <w:rPr>
          <w:rFonts w:ascii="Verdana" w:hAnsi="Verdana" w:cs="Arial"/>
          <w:sz w:val="18"/>
          <w:szCs w:val="18"/>
        </w:rPr>
        <w:t xml:space="preserve">collectief </w:t>
      </w:r>
      <w:r w:rsidR="01B6F043" w:rsidRPr="011715BE">
        <w:rPr>
          <w:rFonts w:ascii="Verdana" w:hAnsi="Verdana" w:cs="Arial"/>
          <w:sz w:val="18"/>
          <w:szCs w:val="18"/>
        </w:rPr>
        <w:t xml:space="preserve">- </w:t>
      </w:r>
      <w:r w:rsidRPr="011715BE">
        <w:rPr>
          <w:rFonts w:ascii="Verdana" w:hAnsi="Verdana" w:cs="Arial"/>
          <w:sz w:val="18"/>
          <w:szCs w:val="18"/>
        </w:rPr>
        <w:t>incl</w:t>
      </w:r>
      <w:r w:rsidR="00802749" w:rsidRPr="011715BE">
        <w:rPr>
          <w:rFonts w:ascii="Verdana" w:hAnsi="Verdana" w:cs="Arial"/>
          <w:sz w:val="18"/>
          <w:szCs w:val="18"/>
        </w:rPr>
        <w:t xml:space="preserve">usief </w:t>
      </w:r>
      <w:r w:rsidRPr="011715BE">
        <w:rPr>
          <w:rFonts w:ascii="Verdana" w:hAnsi="Verdana" w:cs="Arial"/>
          <w:sz w:val="18"/>
          <w:szCs w:val="18"/>
        </w:rPr>
        <w:t>gemeenten</w:t>
      </w:r>
      <w:r w:rsidR="5FB8CE7E" w:rsidRPr="011715BE">
        <w:rPr>
          <w:rFonts w:ascii="Verdana" w:hAnsi="Verdana" w:cs="Arial"/>
          <w:sz w:val="18"/>
          <w:szCs w:val="18"/>
        </w:rPr>
        <w:t xml:space="preserve"> </w:t>
      </w:r>
      <w:r w:rsidR="19857D0E" w:rsidRPr="011715BE">
        <w:rPr>
          <w:rFonts w:ascii="Verdana" w:hAnsi="Verdana" w:cs="Arial"/>
          <w:sz w:val="18"/>
          <w:szCs w:val="18"/>
        </w:rPr>
        <w:t>-</w:t>
      </w:r>
      <w:r w:rsidRPr="011715BE">
        <w:rPr>
          <w:rFonts w:ascii="Verdana" w:hAnsi="Verdana" w:cs="Arial"/>
          <w:sz w:val="18"/>
          <w:szCs w:val="18"/>
        </w:rPr>
        <w:t xml:space="preserve"> </w:t>
      </w:r>
      <w:r w:rsidR="3EA9C609" w:rsidRPr="011715BE">
        <w:rPr>
          <w:rFonts w:ascii="Verdana" w:hAnsi="Verdana" w:cs="Arial"/>
          <w:sz w:val="18"/>
          <w:szCs w:val="18"/>
        </w:rPr>
        <w:t>kostenefficiënter</w:t>
      </w:r>
      <w:r w:rsidR="611B91DA" w:rsidRPr="011715BE">
        <w:rPr>
          <w:rFonts w:ascii="Verdana" w:hAnsi="Verdana" w:cs="Arial"/>
          <w:sz w:val="18"/>
          <w:szCs w:val="18"/>
        </w:rPr>
        <w:t xml:space="preserve"> gewerkt, </w:t>
      </w:r>
      <w:r w:rsidRPr="011715BE">
        <w:rPr>
          <w:rFonts w:ascii="Verdana" w:hAnsi="Verdana" w:cs="Arial"/>
          <w:sz w:val="18"/>
          <w:szCs w:val="18"/>
        </w:rPr>
        <w:t xml:space="preserve">omdat </w:t>
      </w:r>
      <w:r w:rsidR="381E6C5D" w:rsidRPr="011715BE">
        <w:rPr>
          <w:rFonts w:ascii="Verdana" w:hAnsi="Verdana" w:cs="Arial"/>
          <w:sz w:val="18"/>
          <w:szCs w:val="18"/>
        </w:rPr>
        <w:t xml:space="preserve">het totaal aan </w:t>
      </w:r>
      <w:r w:rsidRPr="011715BE">
        <w:rPr>
          <w:rFonts w:ascii="Verdana" w:hAnsi="Verdana" w:cs="Arial"/>
          <w:sz w:val="18"/>
          <w:szCs w:val="18"/>
        </w:rPr>
        <w:t xml:space="preserve">werkzaamheden vanuit </w:t>
      </w:r>
      <w:r w:rsidR="002F5B1A" w:rsidRPr="011715BE">
        <w:rPr>
          <w:rFonts w:ascii="Verdana" w:hAnsi="Verdana" w:cs="Arial"/>
          <w:sz w:val="18"/>
          <w:szCs w:val="18"/>
        </w:rPr>
        <w:t xml:space="preserve">een gezamenlijkheid </w:t>
      </w:r>
      <w:r w:rsidRPr="011715BE">
        <w:rPr>
          <w:rFonts w:ascii="Verdana" w:hAnsi="Verdana" w:cs="Arial"/>
          <w:sz w:val="18"/>
          <w:szCs w:val="18"/>
        </w:rPr>
        <w:t xml:space="preserve">goedkoper </w:t>
      </w:r>
      <w:r w:rsidR="66A82AFD" w:rsidRPr="011715BE">
        <w:rPr>
          <w:rFonts w:ascii="Verdana" w:hAnsi="Verdana" w:cs="Arial"/>
          <w:sz w:val="18"/>
          <w:szCs w:val="18"/>
        </w:rPr>
        <w:t xml:space="preserve">kan </w:t>
      </w:r>
      <w:r w:rsidR="0084690C" w:rsidRPr="011715BE">
        <w:rPr>
          <w:rFonts w:ascii="Verdana" w:hAnsi="Verdana" w:cs="Arial"/>
          <w:sz w:val="18"/>
          <w:szCs w:val="18"/>
        </w:rPr>
        <w:t>worden uitgevoerd,</w:t>
      </w:r>
      <w:r w:rsidRPr="011715BE">
        <w:rPr>
          <w:rFonts w:ascii="Verdana" w:hAnsi="Verdana" w:cs="Arial"/>
          <w:sz w:val="18"/>
          <w:szCs w:val="18"/>
        </w:rPr>
        <w:t xml:space="preserve"> dan </w:t>
      </w:r>
      <w:r w:rsidR="455E41E2" w:rsidRPr="011715BE">
        <w:rPr>
          <w:rFonts w:ascii="Verdana" w:hAnsi="Verdana" w:cs="Arial"/>
          <w:sz w:val="18"/>
          <w:szCs w:val="18"/>
        </w:rPr>
        <w:t xml:space="preserve">door </w:t>
      </w:r>
      <w:r w:rsidR="2569A2F8" w:rsidRPr="011715BE">
        <w:rPr>
          <w:rFonts w:ascii="Verdana" w:hAnsi="Verdana" w:cs="Arial"/>
          <w:sz w:val="18"/>
          <w:szCs w:val="18"/>
        </w:rPr>
        <w:t xml:space="preserve">16 </w:t>
      </w:r>
      <w:r w:rsidR="455E41E2" w:rsidRPr="011715BE">
        <w:rPr>
          <w:rFonts w:ascii="Verdana" w:hAnsi="Verdana" w:cs="Arial"/>
          <w:sz w:val="18"/>
          <w:szCs w:val="18"/>
        </w:rPr>
        <w:t xml:space="preserve">individueel </w:t>
      </w:r>
      <w:r w:rsidRPr="011715BE">
        <w:rPr>
          <w:rFonts w:ascii="Verdana" w:hAnsi="Verdana" w:cs="Arial"/>
          <w:sz w:val="18"/>
          <w:szCs w:val="18"/>
        </w:rPr>
        <w:t>zelfstandig</w:t>
      </w:r>
      <w:r w:rsidR="64EF0E2F" w:rsidRPr="011715BE">
        <w:rPr>
          <w:rFonts w:ascii="Verdana" w:hAnsi="Verdana" w:cs="Arial"/>
          <w:sz w:val="18"/>
          <w:szCs w:val="18"/>
        </w:rPr>
        <w:t>e deelnemers</w:t>
      </w:r>
      <w:r w:rsidRPr="011715BE">
        <w:rPr>
          <w:rFonts w:ascii="Verdana" w:hAnsi="Verdana" w:cs="Arial"/>
          <w:sz w:val="18"/>
          <w:szCs w:val="18"/>
        </w:rPr>
        <w:t xml:space="preserve">. </w:t>
      </w:r>
      <w:r w:rsidR="008E70ED" w:rsidRPr="011715BE">
        <w:rPr>
          <w:rFonts w:ascii="Verdana" w:hAnsi="Verdana" w:cs="Arial"/>
          <w:sz w:val="18"/>
          <w:szCs w:val="18"/>
        </w:rPr>
        <w:t>E</w:t>
      </w:r>
      <w:r w:rsidR="61BEA0A6" w:rsidRPr="011715BE">
        <w:rPr>
          <w:rFonts w:ascii="Verdana" w:hAnsi="Verdana" w:cs="Arial"/>
          <w:sz w:val="18"/>
          <w:szCs w:val="18"/>
        </w:rPr>
        <w:t>chter, e</w:t>
      </w:r>
      <w:r w:rsidR="008E70ED" w:rsidRPr="011715BE">
        <w:rPr>
          <w:rFonts w:ascii="Verdana" w:hAnsi="Verdana" w:cs="Arial"/>
          <w:sz w:val="18"/>
          <w:szCs w:val="18"/>
        </w:rPr>
        <w:t xml:space="preserve">r is geen kwantitatief inzicht </w:t>
      </w:r>
      <w:r w:rsidR="00B16414" w:rsidRPr="011715BE">
        <w:rPr>
          <w:rFonts w:ascii="Verdana" w:hAnsi="Verdana" w:cs="Arial"/>
          <w:sz w:val="18"/>
          <w:szCs w:val="18"/>
        </w:rPr>
        <w:t xml:space="preserve">van de individuele business cases </w:t>
      </w:r>
      <w:r w:rsidR="008E70ED" w:rsidRPr="011715BE">
        <w:rPr>
          <w:rFonts w:ascii="Verdana" w:hAnsi="Verdana" w:cs="Arial"/>
          <w:sz w:val="18"/>
          <w:szCs w:val="18"/>
        </w:rPr>
        <w:t xml:space="preserve">op de bespaarde kosten van de deelnemers doordat activiteiten bij </w:t>
      </w:r>
      <w:r w:rsidR="76D95B0B" w:rsidRPr="011715BE">
        <w:rPr>
          <w:rFonts w:ascii="Verdana" w:hAnsi="Verdana" w:cs="Arial"/>
          <w:sz w:val="18"/>
          <w:szCs w:val="18"/>
        </w:rPr>
        <w:t xml:space="preserve">de OD NHN </w:t>
      </w:r>
      <w:r w:rsidR="008E70ED" w:rsidRPr="011715BE">
        <w:rPr>
          <w:rFonts w:ascii="Verdana" w:hAnsi="Verdana" w:cs="Arial"/>
          <w:sz w:val="18"/>
          <w:szCs w:val="18"/>
        </w:rPr>
        <w:t>zijn ondergebracht.</w:t>
      </w:r>
      <w:r w:rsidR="67AC3ECB" w:rsidRPr="011715BE">
        <w:rPr>
          <w:rFonts w:ascii="Verdana" w:hAnsi="Verdana" w:cs="Arial"/>
          <w:sz w:val="18"/>
          <w:szCs w:val="18"/>
        </w:rPr>
        <w:t xml:space="preserve"> Ook is in het kader van het opstellen van de bezuin</w:t>
      </w:r>
      <w:r w:rsidR="15B694E6" w:rsidRPr="011715BE">
        <w:rPr>
          <w:rFonts w:ascii="Verdana" w:hAnsi="Verdana" w:cs="Arial"/>
          <w:sz w:val="18"/>
          <w:szCs w:val="18"/>
        </w:rPr>
        <w:t>ig</w:t>
      </w:r>
      <w:r w:rsidR="67AC3ECB" w:rsidRPr="011715BE">
        <w:rPr>
          <w:rFonts w:ascii="Verdana" w:hAnsi="Verdana" w:cs="Arial"/>
          <w:sz w:val="18"/>
          <w:szCs w:val="18"/>
        </w:rPr>
        <w:t>ingsscenario's niet gekeken naar gemeentelijke taken die, indien</w:t>
      </w:r>
      <w:r w:rsidR="3AE72515" w:rsidRPr="011715BE">
        <w:rPr>
          <w:rFonts w:ascii="Verdana" w:hAnsi="Verdana" w:cs="Arial"/>
          <w:sz w:val="18"/>
          <w:szCs w:val="18"/>
        </w:rPr>
        <w:t xml:space="preserve"> als</w:t>
      </w:r>
      <w:r w:rsidR="68FDF268" w:rsidRPr="011715BE">
        <w:rPr>
          <w:rFonts w:ascii="Verdana" w:hAnsi="Verdana" w:cs="Arial"/>
          <w:sz w:val="18"/>
          <w:szCs w:val="18"/>
        </w:rPr>
        <w:t>nog als</w:t>
      </w:r>
      <w:r w:rsidR="3AE72515" w:rsidRPr="011715BE">
        <w:rPr>
          <w:rFonts w:ascii="Verdana" w:hAnsi="Verdana" w:cs="Arial"/>
          <w:sz w:val="18"/>
          <w:szCs w:val="18"/>
        </w:rPr>
        <w:t xml:space="preserve"> plus-taak</w:t>
      </w:r>
      <w:r w:rsidR="67AC3ECB" w:rsidRPr="011715BE">
        <w:rPr>
          <w:rFonts w:ascii="Verdana" w:hAnsi="Verdana" w:cs="Arial"/>
          <w:sz w:val="18"/>
          <w:szCs w:val="18"/>
        </w:rPr>
        <w:t xml:space="preserve"> </w:t>
      </w:r>
      <w:r w:rsidR="00AD593C" w:rsidRPr="011715BE">
        <w:rPr>
          <w:rFonts w:ascii="Verdana" w:hAnsi="Verdana" w:cs="Arial"/>
          <w:sz w:val="18"/>
          <w:szCs w:val="18"/>
        </w:rPr>
        <w:t>onder</w:t>
      </w:r>
      <w:r w:rsidR="67AC3ECB" w:rsidRPr="011715BE">
        <w:rPr>
          <w:rFonts w:ascii="Verdana" w:hAnsi="Verdana" w:cs="Arial"/>
          <w:sz w:val="18"/>
          <w:szCs w:val="18"/>
        </w:rPr>
        <w:t xml:space="preserve">gebracht bij de OD NHN, </w:t>
      </w:r>
      <w:r w:rsidR="2FBFDB16" w:rsidRPr="011715BE">
        <w:rPr>
          <w:rFonts w:ascii="Verdana" w:hAnsi="Verdana" w:cs="Arial"/>
          <w:sz w:val="18"/>
          <w:szCs w:val="18"/>
        </w:rPr>
        <w:t>tot besparing zouden kunnen leiden.</w:t>
      </w:r>
    </w:p>
    <w:p w14:paraId="7F6B7C2F" w14:textId="5B8FC4CC" w:rsidR="000165AC" w:rsidRPr="007B357E" w:rsidRDefault="000165AC" w:rsidP="000165AC">
      <w:pPr>
        <w:spacing w:after="0" w:line="240" w:lineRule="auto"/>
        <w:contextualSpacing/>
        <w:rPr>
          <w:rFonts w:ascii="Verdana" w:hAnsi="Verdana" w:cs="Arial"/>
          <w:b/>
          <w:bCs/>
          <w:i/>
          <w:iCs/>
          <w:sz w:val="18"/>
          <w:szCs w:val="18"/>
        </w:rPr>
      </w:pPr>
    </w:p>
    <w:p w14:paraId="59881B06" w14:textId="7C93EC88" w:rsidR="000165AC" w:rsidRPr="00A10056" w:rsidRDefault="00530C60" w:rsidP="000165AC">
      <w:pPr>
        <w:spacing w:after="0" w:line="240" w:lineRule="auto"/>
        <w:contextualSpacing/>
        <w:rPr>
          <w:rFonts w:ascii="Verdana" w:hAnsi="Verdana" w:cs="Arial"/>
          <w:b/>
          <w:bCs/>
          <w:sz w:val="18"/>
          <w:szCs w:val="18"/>
        </w:rPr>
      </w:pPr>
      <w:r w:rsidRPr="00A10056">
        <w:rPr>
          <w:rFonts w:ascii="Verdana" w:hAnsi="Verdana" w:cs="Arial"/>
          <w:b/>
          <w:bCs/>
          <w:sz w:val="18"/>
          <w:szCs w:val="18"/>
        </w:rPr>
        <w:t>Minimale ondergrens</w:t>
      </w:r>
    </w:p>
    <w:p w14:paraId="753876B6" w14:textId="0CDCABD2" w:rsidR="000165AC" w:rsidRDefault="000165AC" w:rsidP="000165AC">
      <w:pPr>
        <w:spacing w:after="0" w:line="240" w:lineRule="auto"/>
        <w:contextualSpacing/>
        <w:rPr>
          <w:rFonts w:ascii="Verdana" w:hAnsi="Verdana" w:cs="Arial"/>
          <w:sz w:val="18"/>
          <w:szCs w:val="18"/>
        </w:rPr>
      </w:pPr>
      <w:r w:rsidRPr="7B0164AA">
        <w:rPr>
          <w:rFonts w:ascii="Verdana" w:hAnsi="Verdana" w:cs="Arial"/>
          <w:sz w:val="18"/>
          <w:szCs w:val="18"/>
        </w:rPr>
        <w:t>Het uitvoeren van een taak heeft een minimale ondergrens om kwaliteit en continuïteit te waarborgen. Bij besparing op taken kunnen bepaalde werkzaamheden niet meer door OD NHN vanuit kwaliteit</w:t>
      </w:r>
      <w:r w:rsidR="17F4ABCE" w:rsidRPr="7B0164AA">
        <w:rPr>
          <w:rFonts w:ascii="Verdana" w:hAnsi="Verdana" w:cs="Arial"/>
          <w:sz w:val="18"/>
          <w:szCs w:val="18"/>
        </w:rPr>
        <w:t>s-</w:t>
      </w:r>
      <w:r w:rsidRPr="7B0164AA">
        <w:rPr>
          <w:rFonts w:ascii="Verdana" w:hAnsi="Verdana" w:cs="Arial"/>
          <w:sz w:val="18"/>
          <w:szCs w:val="18"/>
        </w:rPr>
        <w:t xml:space="preserve"> en continuïteit</w:t>
      </w:r>
      <w:r w:rsidR="5A227C41" w:rsidRPr="7B0164AA">
        <w:rPr>
          <w:rFonts w:ascii="Verdana" w:hAnsi="Verdana" w:cs="Arial"/>
          <w:sz w:val="18"/>
          <w:szCs w:val="18"/>
        </w:rPr>
        <w:t>soogpunt</w:t>
      </w:r>
      <w:r w:rsidRPr="7B0164AA">
        <w:rPr>
          <w:rFonts w:ascii="Verdana" w:hAnsi="Verdana" w:cs="Arial"/>
          <w:sz w:val="18"/>
          <w:szCs w:val="18"/>
        </w:rPr>
        <w:t xml:space="preserve"> worden gegarandeerd. </w:t>
      </w:r>
      <w:r w:rsidR="002F3247" w:rsidRPr="7B0164AA">
        <w:rPr>
          <w:rFonts w:ascii="Verdana" w:hAnsi="Verdana" w:cs="Arial"/>
          <w:sz w:val="18"/>
          <w:szCs w:val="18"/>
        </w:rPr>
        <w:t>Daarnaast zal</w:t>
      </w:r>
      <w:r w:rsidR="74637C28" w:rsidRPr="7B0164AA">
        <w:rPr>
          <w:rFonts w:ascii="Verdana" w:hAnsi="Verdana" w:cs="Arial"/>
          <w:sz w:val="18"/>
          <w:szCs w:val="18"/>
        </w:rPr>
        <w:t xml:space="preserve"> </w:t>
      </w:r>
      <w:r w:rsidR="002F3247" w:rsidRPr="7B0164AA">
        <w:rPr>
          <w:rFonts w:ascii="Verdana" w:hAnsi="Verdana" w:cs="Arial"/>
          <w:sz w:val="18"/>
          <w:szCs w:val="18"/>
        </w:rPr>
        <w:t xml:space="preserve">concentratie </w:t>
      </w:r>
      <w:r w:rsidR="6B818D53" w:rsidRPr="7B0164AA">
        <w:rPr>
          <w:rFonts w:ascii="Verdana" w:hAnsi="Verdana" w:cs="Arial"/>
          <w:sz w:val="18"/>
          <w:szCs w:val="18"/>
        </w:rPr>
        <w:t xml:space="preserve">van </w:t>
      </w:r>
      <w:r w:rsidR="68593D8B" w:rsidRPr="7B0164AA">
        <w:rPr>
          <w:rFonts w:ascii="Verdana" w:hAnsi="Verdana" w:cs="Arial"/>
          <w:sz w:val="18"/>
          <w:szCs w:val="18"/>
        </w:rPr>
        <w:t xml:space="preserve">(gespecialiseerde) </w:t>
      </w:r>
      <w:r w:rsidR="6B818D53" w:rsidRPr="7B0164AA">
        <w:rPr>
          <w:rFonts w:ascii="Verdana" w:hAnsi="Verdana" w:cs="Arial"/>
          <w:sz w:val="18"/>
          <w:szCs w:val="18"/>
        </w:rPr>
        <w:t xml:space="preserve">kennis </w:t>
      </w:r>
      <w:r w:rsidR="002F3247" w:rsidRPr="7B0164AA">
        <w:rPr>
          <w:rFonts w:ascii="Verdana" w:hAnsi="Verdana" w:cs="Arial"/>
          <w:sz w:val="18"/>
          <w:szCs w:val="18"/>
        </w:rPr>
        <w:t>en taakuitvoering vanuit een groep specialisten in basis bijdragen aan continuïteit</w:t>
      </w:r>
      <w:r w:rsidR="2BF7A335" w:rsidRPr="7B0164AA">
        <w:rPr>
          <w:rFonts w:ascii="Verdana" w:hAnsi="Verdana" w:cs="Arial"/>
          <w:sz w:val="18"/>
          <w:szCs w:val="18"/>
        </w:rPr>
        <w:t>, efficiency</w:t>
      </w:r>
      <w:r w:rsidR="002F3247" w:rsidRPr="7B0164AA">
        <w:rPr>
          <w:rFonts w:ascii="Verdana" w:hAnsi="Verdana" w:cs="Arial"/>
          <w:sz w:val="18"/>
          <w:szCs w:val="18"/>
        </w:rPr>
        <w:t xml:space="preserve"> en een hoger kwaliteitsniveau. </w:t>
      </w:r>
      <w:r w:rsidR="0C08B8BA" w:rsidRPr="7B0164AA">
        <w:rPr>
          <w:rFonts w:ascii="Verdana" w:hAnsi="Verdana" w:cs="Arial"/>
          <w:sz w:val="18"/>
          <w:szCs w:val="18"/>
        </w:rPr>
        <w:t>H</w:t>
      </w:r>
      <w:r w:rsidR="002F3247" w:rsidRPr="7B0164AA">
        <w:rPr>
          <w:rFonts w:ascii="Verdana" w:hAnsi="Verdana" w:cs="Arial"/>
          <w:sz w:val="18"/>
          <w:szCs w:val="18"/>
        </w:rPr>
        <w:t xml:space="preserve">et concentreren van werkzaamheden bij </w:t>
      </w:r>
      <w:r w:rsidR="1D54A446" w:rsidRPr="7B0164AA">
        <w:rPr>
          <w:rFonts w:ascii="Verdana" w:hAnsi="Verdana" w:cs="Arial"/>
          <w:sz w:val="18"/>
          <w:szCs w:val="18"/>
        </w:rPr>
        <w:t>de omgevingsdienst is</w:t>
      </w:r>
      <w:r w:rsidR="002F3247" w:rsidRPr="7B0164AA">
        <w:rPr>
          <w:rFonts w:ascii="Verdana" w:hAnsi="Verdana" w:cs="Arial"/>
          <w:sz w:val="18"/>
          <w:szCs w:val="18"/>
        </w:rPr>
        <w:t xml:space="preserve"> feitelijk al een besparing </w:t>
      </w:r>
      <w:r w:rsidR="7B960DEB" w:rsidRPr="7B0164AA">
        <w:rPr>
          <w:rFonts w:ascii="Verdana" w:hAnsi="Verdana" w:cs="Arial"/>
          <w:sz w:val="18"/>
          <w:szCs w:val="18"/>
        </w:rPr>
        <w:t>in</w:t>
      </w:r>
      <w:r w:rsidR="002F3247" w:rsidRPr="7B0164AA">
        <w:rPr>
          <w:rFonts w:ascii="Verdana" w:hAnsi="Verdana" w:cs="Arial"/>
          <w:sz w:val="18"/>
          <w:szCs w:val="18"/>
        </w:rPr>
        <w:t xml:space="preserve"> zichzelf. </w:t>
      </w:r>
      <w:r w:rsidRPr="7B0164AA">
        <w:rPr>
          <w:rFonts w:ascii="Verdana" w:hAnsi="Verdana" w:cs="Arial"/>
          <w:sz w:val="18"/>
          <w:szCs w:val="18"/>
        </w:rPr>
        <w:t>Op dit moment is nog niet duidelijk welke taken zullen moeten worden afgestoten</w:t>
      </w:r>
      <w:r w:rsidR="79AC2D38" w:rsidRPr="7B0164AA">
        <w:rPr>
          <w:rFonts w:ascii="Verdana" w:hAnsi="Verdana" w:cs="Arial"/>
          <w:sz w:val="18"/>
          <w:szCs w:val="18"/>
        </w:rPr>
        <w:t xml:space="preserve">, aangezien dit afhankelijk is </w:t>
      </w:r>
      <w:r w:rsidR="00063832" w:rsidRPr="7B0164AA">
        <w:rPr>
          <w:rFonts w:ascii="Verdana" w:hAnsi="Verdana" w:cs="Arial"/>
          <w:sz w:val="18"/>
          <w:szCs w:val="18"/>
        </w:rPr>
        <w:t xml:space="preserve">van de </w:t>
      </w:r>
      <w:r w:rsidR="21C0D166" w:rsidRPr="7B0164AA">
        <w:rPr>
          <w:rFonts w:ascii="Verdana" w:hAnsi="Verdana" w:cs="Arial"/>
          <w:sz w:val="18"/>
          <w:szCs w:val="18"/>
        </w:rPr>
        <w:t xml:space="preserve">te maken </w:t>
      </w:r>
      <w:r w:rsidR="00063832" w:rsidRPr="7B0164AA">
        <w:rPr>
          <w:rFonts w:ascii="Verdana" w:hAnsi="Verdana" w:cs="Arial"/>
          <w:sz w:val="18"/>
          <w:szCs w:val="18"/>
        </w:rPr>
        <w:t>keuzes.</w:t>
      </w:r>
    </w:p>
    <w:p w14:paraId="298E2D56" w14:textId="77777777" w:rsidR="005B2B3D" w:rsidRDefault="005B2B3D" w:rsidP="000165AC">
      <w:pPr>
        <w:spacing w:after="0" w:line="240" w:lineRule="auto"/>
        <w:contextualSpacing/>
        <w:rPr>
          <w:rFonts w:ascii="Verdana" w:hAnsi="Verdana" w:cs="Arial"/>
          <w:sz w:val="18"/>
          <w:szCs w:val="18"/>
        </w:rPr>
      </w:pPr>
    </w:p>
    <w:p w14:paraId="6215F34B" w14:textId="5510A46C" w:rsidR="4181B624" w:rsidRDefault="4181B624" w:rsidP="4181B624">
      <w:pPr>
        <w:spacing w:line="240" w:lineRule="auto"/>
        <w:contextualSpacing/>
        <w:rPr>
          <w:rFonts w:ascii="Verdana" w:hAnsi="Verdana"/>
          <w:b/>
          <w:bCs/>
          <w:sz w:val="18"/>
          <w:szCs w:val="18"/>
        </w:rPr>
      </w:pPr>
    </w:p>
    <w:p w14:paraId="625270D5" w14:textId="1AA05485" w:rsidR="00B84D2E" w:rsidRDefault="05BB9A2B" w:rsidP="005F4EF7">
      <w:pPr>
        <w:spacing w:line="240" w:lineRule="auto"/>
        <w:contextualSpacing/>
        <w:rPr>
          <w:rFonts w:ascii="Verdana" w:hAnsi="Verdana"/>
          <w:b/>
          <w:bCs/>
          <w:sz w:val="18"/>
          <w:szCs w:val="18"/>
        </w:rPr>
      </w:pPr>
      <w:r w:rsidRPr="011715BE">
        <w:rPr>
          <w:rFonts w:ascii="Verdana" w:hAnsi="Verdana"/>
          <w:b/>
          <w:bCs/>
          <w:sz w:val="18"/>
          <w:szCs w:val="18"/>
        </w:rPr>
        <w:t>Financieel e</w:t>
      </w:r>
      <w:r w:rsidR="00703853" w:rsidRPr="011715BE">
        <w:rPr>
          <w:rFonts w:ascii="Verdana" w:hAnsi="Verdana"/>
          <w:b/>
          <w:bCs/>
          <w:sz w:val="18"/>
          <w:szCs w:val="18"/>
        </w:rPr>
        <w:t>ffect van c</w:t>
      </w:r>
      <w:r w:rsidR="00AB3C41" w:rsidRPr="011715BE">
        <w:rPr>
          <w:rFonts w:ascii="Verdana" w:hAnsi="Verdana"/>
          <w:b/>
          <w:bCs/>
          <w:sz w:val="18"/>
          <w:szCs w:val="18"/>
        </w:rPr>
        <w:t>ollectieve besparingen ten gunste v</w:t>
      </w:r>
      <w:r w:rsidR="49E46EC3" w:rsidRPr="011715BE">
        <w:rPr>
          <w:rFonts w:ascii="Verdana" w:hAnsi="Verdana"/>
          <w:b/>
          <w:bCs/>
          <w:sz w:val="18"/>
          <w:szCs w:val="18"/>
        </w:rPr>
        <w:t xml:space="preserve">an </w:t>
      </w:r>
      <w:r w:rsidR="00AB3C41" w:rsidRPr="011715BE">
        <w:rPr>
          <w:rFonts w:ascii="Verdana" w:hAnsi="Verdana"/>
          <w:b/>
          <w:bCs/>
          <w:sz w:val="18"/>
          <w:szCs w:val="18"/>
        </w:rPr>
        <w:t>provincie</w:t>
      </w:r>
    </w:p>
    <w:p w14:paraId="4C84049F" w14:textId="40D78C81" w:rsidR="00A52451" w:rsidRDefault="00A52451" w:rsidP="005F4EF7">
      <w:pPr>
        <w:spacing w:after="100" w:afterAutospacing="1" w:line="240" w:lineRule="auto"/>
        <w:contextualSpacing/>
        <w:rPr>
          <w:rFonts w:ascii="Verdana" w:hAnsi="Verdana"/>
          <w:sz w:val="18"/>
          <w:szCs w:val="18"/>
        </w:rPr>
      </w:pPr>
      <w:r w:rsidRPr="7B0164AA">
        <w:rPr>
          <w:rFonts w:ascii="Verdana" w:hAnsi="Verdana"/>
          <w:sz w:val="18"/>
          <w:szCs w:val="18"/>
        </w:rPr>
        <w:t xml:space="preserve">Bij de besparingen op de overhead is uiteraard rekening gehouden met het relatieve aandeel voor gemeenten. Een aandeel </w:t>
      </w:r>
      <w:r w:rsidR="6887710F" w:rsidRPr="7B0164AA">
        <w:rPr>
          <w:rFonts w:ascii="Verdana" w:hAnsi="Verdana"/>
          <w:sz w:val="18"/>
          <w:szCs w:val="18"/>
        </w:rPr>
        <w:t xml:space="preserve">van mogelijke bezuinigingen </w:t>
      </w:r>
      <w:r w:rsidRPr="7B0164AA">
        <w:rPr>
          <w:rFonts w:ascii="Verdana" w:hAnsi="Verdana"/>
          <w:sz w:val="18"/>
          <w:szCs w:val="18"/>
        </w:rPr>
        <w:t>zal ook ten gunste vallen aan de Provincie Noord-Holland</w:t>
      </w:r>
      <w:r w:rsidR="005A7EA2" w:rsidRPr="7B0164AA">
        <w:rPr>
          <w:rFonts w:ascii="Verdana" w:hAnsi="Verdana"/>
          <w:sz w:val="18"/>
          <w:szCs w:val="18"/>
        </w:rPr>
        <w:t xml:space="preserve"> en </w:t>
      </w:r>
      <w:r w:rsidR="7442E120" w:rsidRPr="7B0164AA">
        <w:rPr>
          <w:rFonts w:ascii="Verdana" w:hAnsi="Verdana"/>
          <w:sz w:val="18"/>
          <w:szCs w:val="18"/>
        </w:rPr>
        <w:t xml:space="preserve">in onderstaande tabel staat dit effect weergegeven. </w:t>
      </w:r>
    </w:p>
    <w:p w14:paraId="38398B91" w14:textId="77777777" w:rsidR="00442F84" w:rsidRDefault="00442F84" w:rsidP="7B0164AA">
      <w:pPr>
        <w:spacing w:after="100" w:afterAutospacing="1" w:line="240" w:lineRule="auto"/>
        <w:contextualSpacing/>
        <w:rPr>
          <w:rFonts w:ascii="Verdana" w:hAnsi="Verdana"/>
          <w:sz w:val="18"/>
          <w:szCs w:val="18"/>
        </w:rPr>
      </w:pPr>
    </w:p>
    <w:tbl>
      <w:tblPr>
        <w:tblStyle w:val="Tabelraster"/>
        <w:tblW w:w="0" w:type="auto"/>
        <w:tblLook w:val="04A0" w:firstRow="1" w:lastRow="0" w:firstColumn="1" w:lastColumn="0" w:noHBand="0" w:noVBand="1"/>
      </w:tblPr>
      <w:tblGrid>
        <w:gridCol w:w="704"/>
        <w:gridCol w:w="5337"/>
        <w:gridCol w:w="2176"/>
      </w:tblGrid>
      <w:tr w:rsidR="001128F6" w14:paraId="04A7629D" w14:textId="77777777" w:rsidTr="00AD0713">
        <w:tc>
          <w:tcPr>
            <w:tcW w:w="704" w:type="dxa"/>
            <w:shd w:val="clear" w:color="auto" w:fill="7030A0"/>
          </w:tcPr>
          <w:p w14:paraId="1B0E8902" w14:textId="5F7B6013" w:rsidR="001128F6" w:rsidRPr="00AD0713" w:rsidRDefault="001128F6" w:rsidP="006C3E06">
            <w:pPr>
              <w:rPr>
                <w:rFonts w:ascii="Verdana" w:hAnsi="Verdana"/>
                <w:b/>
                <w:bCs/>
                <w:color w:val="FFFFFF" w:themeColor="background1"/>
                <w:sz w:val="18"/>
                <w:szCs w:val="18"/>
              </w:rPr>
            </w:pPr>
            <w:r w:rsidRPr="00AD0713">
              <w:rPr>
                <w:rFonts w:ascii="Verdana" w:hAnsi="Verdana"/>
                <w:b/>
                <w:bCs/>
                <w:color w:val="FFFFFF" w:themeColor="background1"/>
                <w:sz w:val="18"/>
                <w:szCs w:val="18"/>
              </w:rPr>
              <w:t>Nr.</w:t>
            </w:r>
          </w:p>
        </w:tc>
        <w:tc>
          <w:tcPr>
            <w:tcW w:w="5337" w:type="dxa"/>
            <w:shd w:val="clear" w:color="auto" w:fill="7030A0"/>
          </w:tcPr>
          <w:p w14:paraId="17AACAC0" w14:textId="3E64D725" w:rsidR="001128F6" w:rsidRPr="00AD0713" w:rsidRDefault="001128F6" w:rsidP="006C3E06">
            <w:pPr>
              <w:rPr>
                <w:rFonts w:ascii="Verdana" w:hAnsi="Verdana"/>
                <w:b/>
                <w:bCs/>
                <w:color w:val="FFFFFF" w:themeColor="background1"/>
                <w:sz w:val="18"/>
                <w:szCs w:val="18"/>
              </w:rPr>
            </w:pPr>
            <w:r w:rsidRPr="00AD0713">
              <w:rPr>
                <w:rFonts w:ascii="Verdana" w:hAnsi="Verdana"/>
                <w:b/>
                <w:bCs/>
                <w:color w:val="FFFFFF" w:themeColor="background1"/>
                <w:sz w:val="18"/>
                <w:szCs w:val="18"/>
              </w:rPr>
              <w:t>Omschrijving besparingsmaatregel</w:t>
            </w:r>
          </w:p>
        </w:tc>
        <w:tc>
          <w:tcPr>
            <w:tcW w:w="2176" w:type="dxa"/>
            <w:shd w:val="clear" w:color="auto" w:fill="7030A0"/>
          </w:tcPr>
          <w:p w14:paraId="0E30E3FF" w14:textId="1C1F390E" w:rsidR="001128F6" w:rsidRPr="00AD0713" w:rsidRDefault="00EE4CDC" w:rsidP="003F6521">
            <w:pPr>
              <w:jc w:val="center"/>
              <w:rPr>
                <w:rFonts w:ascii="Verdana" w:hAnsi="Verdana"/>
                <w:b/>
                <w:bCs/>
                <w:color w:val="FFFFFF" w:themeColor="background1"/>
                <w:sz w:val="18"/>
                <w:szCs w:val="18"/>
              </w:rPr>
            </w:pPr>
            <w:r w:rsidRPr="00AD0713">
              <w:rPr>
                <w:rFonts w:ascii="Verdana" w:hAnsi="Verdana"/>
                <w:b/>
                <w:bCs/>
                <w:color w:val="FFFFFF" w:themeColor="background1"/>
                <w:sz w:val="18"/>
                <w:szCs w:val="18"/>
              </w:rPr>
              <w:t>Aandeel provincie</w:t>
            </w:r>
            <w:r w:rsidR="009A31CA" w:rsidRPr="00AD0713">
              <w:rPr>
                <w:rFonts w:ascii="Verdana" w:hAnsi="Verdana"/>
                <w:b/>
                <w:bCs/>
                <w:color w:val="FFFFFF" w:themeColor="background1"/>
                <w:sz w:val="18"/>
                <w:szCs w:val="18"/>
              </w:rPr>
              <w:t xml:space="preserve"> (€)</w:t>
            </w:r>
          </w:p>
        </w:tc>
      </w:tr>
      <w:tr w:rsidR="001128F6" w14:paraId="33BE15C1" w14:textId="77777777" w:rsidTr="003F6521">
        <w:tc>
          <w:tcPr>
            <w:tcW w:w="704" w:type="dxa"/>
          </w:tcPr>
          <w:p w14:paraId="247EE49F" w14:textId="590C655E" w:rsidR="001128F6" w:rsidRDefault="009A31CA" w:rsidP="006C3E06">
            <w:pPr>
              <w:rPr>
                <w:rFonts w:ascii="Verdana" w:hAnsi="Verdana"/>
                <w:sz w:val="18"/>
                <w:szCs w:val="18"/>
              </w:rPr>
            </w:pPr>
            <w:r>
              <w:rPr>
                <w:rFonts w:ascii="Verdana" w:hAnsi="Verdana"/>
                <w:sz w:val="18"/>
                <w:szCs w:val="18"/>
              </w:rPr>
              <w:t>1</w:t>
            </w:r>
          </w:p>
        </w:tc>
        <w:tc>
          <w:tcPr>
            <w:tcW w:w="5337" w:type="dxa"/>
          </w:tcPr>
          <w:p w14:paraId="33157B75" w14:textId="07A2671B" w:rsidR="001128F6" w:rsidRDefault="009A31CA" w:rsidP="006C3E06">
            <w:pPr>
              <w:rPr>
                <w:rFonts w:ascii="Verdana" w:hAnsi="Verdana"/>
                <w:sz w:val="18"/>
                <w:szCs w:val="18"/>
              </w:rPr>
            </w:pPr>
            <w:r>
              <w:rPr>
                <w:rFonts w:ascii="Verdana" w:hAnsi="Verdana"/>
                <w:sz w:val="18"/>
                <w:szCs w:val="18"/>
              </w:rPr>
              <w:t>Verminderen personele en bestuurlijke voorzieningen en representatie</w:t>
            </w:r>
          </w:p>
        </w:tc>
        <w:tc>
          <w:tcPr>
            <w:tcW w:w="2176" w:type="dxa"/>
          </w:tcPr>
          <w:p w14:paraId="5A2E0D38" w14:textId="213797DA" w:rsidR="001128F6" w:rsidRDefault="00AD52E7" w:rsidP="003F6521">
            <w:pPr>
              <w:jc w:val="center"/>
              <w:rPr>
                <w:rFonts w:ascii="Verdana" w:hAnsi="Verdana"/>
                <w:sz w:val="18"/>
                <w:szCs w:val="18"/>
              </w:rPr>
            </w:pPr>
            <w:r>
              <w:rPr>
                <w:rFonts w:ascii="Verdana" w:hAnsi="Verdana"/>
                <w:sz w:val="18"/>
                <w:szCs w:val="18"/>
              </w:rPr>
              <w:t xml:space="preserve">€ </w:t>
            </w:r>
            <w:r w:rsidR="004C6E19">
              <w:rPr>
                <w:rFonts w:ascii="Verdana" w:hAnsi="Verdana"/>
                <w:sz w:val="18"/>
                <w:szCs w:val="18"/>
              </w:rPr>
              <w:t>8</w:t>
            </w:r>
            <w:r w:rsidR="00B974F7">
              <w:rPr>
                <w:rFonts w:ascii="Verdana" w:hAnsi="Verdana"/>
                <w:sz w:val="18"/>
                <w:szCs w:val="18"/>
              </w:rPr>
              <w:t>.000</w:t>
            </w:r>
          </w:p>
        </w:tc>
      </w:tr>
      <w:tr w:rsidR="00B974F7" w14:paraId="0B8F61F6" w14:textId="77777777" w:rsidTr="003F6521">
        <w:tc>
          <w:tcPr>
            <w:tcW w:w="704" w:type="dxa"/>
          </w:tcPr>
          <w:p w14:paraId="728842F0" w14:textId="3531A330" w:rsidR="00B974F7" w:rsidRDefault="00140714" w:rsidP="006C3E06">
            <w:pPr>
              <w:rPr>
                <w:rFonts w:ascii="Verdana" w:hAnsi="Verdana"/>
                <w:sz w:val="18"/>
                <w:szCs w:val="18"/>
              </w:rPr>
            </w:pPr>
            <w:r>
              <w:rPr>
                <w:rFonts w:ascii="Verdana" w:hAnsi="Verdana"/>
                <w:sz w:val="18"/>
                <w:szCs w:val="18"/>
              </w:rPr>
              <w:t>3</w:t>
            </w:r>
          </w:p>
        </w:tc>
        <w:tc>
          <w:tcPr>
            <w:tcW w:w="5337" w:type="dxa"/>
          </w:tcPr>
          <w:p w14:paraId="707CEACB" w14:textId="0AF044AB" w:rsidR="00B974F7" w:rsidRPr="001714B9" w:rsidRDefault="001714B9" w:rsidP="006C3E06">
            <w:pPr>
              <w:rPr>
                <w:rFonts w:ascii="Verdana" w:hAnsi="Verdana"/>
                <w:sz w:val="18"/>
                <w:szCs w:val="18"/>
              </w:rPr>
            </w:pPr>
            <w:r>
              <w:rPr>
                <w:rFonts w:ascii="Verdana" w:hAnsi="Verdana"/>
                <w:sz w:val="18"/>
                <w:szCs w:val="18"/>
              </w:rPr>
              <w:t>Wijzigingen rondom inzet huisvesting en bijbehorende facilitaire kosten</w:t>
            </w:r>
          </w:p>
        </w:tc>
        <w:tc>
          <w:tcPr>
            <w:tcW w:w="2176" w:type="dxa"/>
          </w:tcPr>
          <w:p w14:paraId="03486676" w14:textId="473427C3" w:rsidR="00B974F7" w:rsidRDefault="00140714" w:rsidP="003F6521">
            <w:pPr>
              <w:jc w:val="center"/>
              <w:rPr>
                <w:rFonts w:ascii="Verdana" w:hAnsi="Verdana"/>
                <w:sz w:val="18"/>
                <w:szCs w:val="18"/>
              </w:rPr>
            </w:pPr>
            <w:r>
              <w:rPr>
                <w:rFonts w:ascii="Verdana" w:hAnsi="Verdana"/>
                <w:sz w:val="18"/>
                <w:szCs w:val="18"/>
              </w:rPr>
              <w:t xml:space="preserve">€ </w:t>
            </w:r>
            <w:r w:rsidR="00E547D1">
              <w:rPr>
                <w:rFonts w:ascii="Verdana" w:hAnsi="Verdana"/>
                <w:sz w:val="18"/>
                <w:szCs w:val="18"/>
              </w:rPr>
              <w:t>8.000</w:t>
            </w:r>
          </w:p>
        </w:tc>
      </w:tr>
      <w:tr w:rsidR="00952024" w14:paraId="0E226052" w14:textId="77777777" w:rsidTr="003F6521">
        <w:tc>
          <w:tcPr>
            <w:tcW w:w="704" w:type="dxa"/>
          </w:tcPr>
          <w:p w14:paraId="7C6EBAE1" w14:textId="57D5D6D2" w:rsidR="00952024" w:rsidRDefault="00952024" w:rsidP="006C3E06">
            <w:pPr>
              <w:rPr>
                <w:rFonts w:ascii="Verdana" w:hAnsi="Verdana"/>
                <w:sz w:val="18"/>
                <w:szCs w:val="18"/>
              </w:rPr>
            </w:pPr>
            <w:r>
              <w:rPr>
                <w:rFonts w:ascii="Verdana" w:hAnsi="Verdana"/>
                <w:sz w:val="18"/>
                <w:szCs w:val="18"/>
              </w:rPr>
              <w:t>4</w:t>
            </w:r>
          </w:p>
        </w:tc>
        <w:tc>
          <w:tcPr>
            <w:tcW w:w="5337" w:type="dxa"/>
          </w:tcPr>
          <w:p w14:paraId="3F043D47" w14:textId="4C0FE87C" w:rsidR="00952024" w:rsidRDefault="00952024" w:rsidP="006C3E06">
            <w:pPr>
              <w:rPr>
                <w:rFonts w:ascii="Verdana" w:hAnsi="Verdana"/>
                <w:sz w:val="18"/>
                <w:szCs w:val="18"/>
              </w:rPr>
            </w:pPr>
            <w:r>
              <w:rPr>
                <w:rFonts w:ascii="Verdana" w:hAnsi="Verdana"/>
                <w:sz w:val="18"/>
                <w:szCs w:val="18"/>
              </w:rPr>
              <w:t xml:space="preserve">Verminderen omvang stelpost onvoorziene kosten aandeel VTH </w:t>
            </w:r>
            <w:r w:rsidR="00393DB6">
              <w:rPr>
                <w:rFonts w:ascii="Verdana" w:hAnsi="Verdana"/>
                <w:sz w:val="18"/>
                <w:szCs w:val="18"/>
              </w:rPr>
              <w:t>tot max van € 1.000</w:t>
            </w:r>
            <w:r w:rsidR="005538E0">
              <w:rPr>
                <w:rFonts w:ascii="Verdana" w:hAnsi="Verdana"/>
                <w:sz w:val="18"/>
                <w:szCs w:val="18"/>
              </w:rPr>
              <w:t xml:space="preserve"> per jaar</w:t>
            </w:r>
          </w:p>
        </w:tc>
        <w:tc>
          <w:tcPr>
            <w:tcW w:w="2176" w:type="dxa"/>
          </w:tcPr>
          <w:p w14:paraId="20AFAA3B" w14:textId="6628EB0A" w:rsidR="00952024" w:rsidRDefault="00055C98" w:rsidP="003F6521">
            <w:pPr>
              <w:jc w:val="center"/>
              <w:rPr>
                <w:rFonts w:ascii="Verdana" w:hAnsi="Verdana"/>
                <w:sz w:val="18"/>
                <w:szCs w:val="18"/>
              </w:rPr>
            </w:pPr>
            <w:r>
              <w:rPr>
                <w:rFonts w:ascii="Verdana" w:hAnsi="Verdana"/>
                <w:sz w:val="18"/>
                <w:szCs w:val="18"/>
              </w:rPr>
              <w:t xml:space="preserve">€ </w:t>
            </w:r>
            <w:r w:rsidR="008E7EF7">
              <w:rPr>
                <w:rFonts w:ascii="Verdana" w:hAnsi="Verdana"/>
                <w:sz w:val="18"/>
                <w:szCs w:val="18"/>
              </w:rPr>
              <w:t>70</w:t>
            </w:r>
            <w:r w:rsidR="007C0AD1">
              <w:rPr>
                <w:rFonts w:ascii="Verdana" w:hAnsi="Verdana"/>
                <w:sz w:val="18"/>
                <w:szCs w:val="18"/>
              </w:rPr>
              <w:t>.000</w:t>
            </w:r>
          </w:p>
        </w:tc>
      </w:tr>
      <w:tr w:rsidR="00491383" w14:paraId="7E364A93" w14:textId="77777777" w:rsidTr="003F6521">
        <w:tc>
          <w:tcPr>
            <w:tcW w:w="704" w:type="dxa"/>
          </w:tcPr>
          <w:p w14:paraId="5EE887DF" w14:textId="44762C46" w:rsidR="00491383" w:rsidRDefault="00952024" w:rsidP="006C3E06">
            <w:pPr>
              <w:rPr>
                <w:rFonts w:ascii="Verdana" w:hAnsi="Verdana"/>
                <w:sz w:val="18"/>
                <w:szCs w:val="18"/>
              </w:rPr>
            </w:pPr>
            <w:r>
              <w:rPr>
                <w:rFonts w:ascii="Verdana" w:hAnsi="Verdana"/>
                <w:sz w:val="18"/>
                <w:szCs w:val="18"/>
              </w:rPr>
              <w:t>7</w:t>
            </w:r>
          </w:p>
        </w:tc>
        <w:tc>
          <w:tcPr>
            <w:tcW w:w="5337" w:type="dxa"/>
          </w:tcPr>
          <w:p w14:paraId="19B161FC" w14:textId="5DEE754C" w:rsidR="00491383" w:rsidRDefault="00491383" w:rsidP="006C3E06">
            <w:pPr>
              <w:rPr>
                <w:rFonts w:ascii="Verdana" w:hAnsi="Verdana"/>
                <w:sz w:val="18"/>
                <w:szCs w:val="18"/>
              </w:rPr>
            </w:pPr>
            <w:r w:rsidRPr="001339EA">
              <w:rPr>
                <w:rFonts w:ascii="Verdana" w:hAnsi="Verdana" w:cs="Arial"/>
                <w:sz w:val="18"/>
                <w:szCs w:val="18"/>
              </w:rPr>
              <w:t>Langere afschrijving en latere vervanging I-</w:t>
            </w:r>
            <w:proofErr w:type="spellStart"/>
            <w:r w:rsidRPr="001339EA">
              <w:rPr>
                <w:rFonts w:ascii="Verdana" w:hAnsi="Verdana" w:cs="Arial"/>
                <w:sz w:val="18"/>
                <w:szCs w:val="18"/>
              </w:rPr>
              <w:t>pads</w:t>
            </w:r>
            <w:proofErr w:type="spellEnd"/>
            <w:r w:rsidRPr="001339EA">
              <w:rPr>
                <w:rFonts w:ascii="Verdana" w:hAnsi="Verdana" w:cs="Arial"/>
                <w:sz w:val="18"/>
                <w:szCs w:val="18"/>
              </w:rPr>
              <w:t xml:space="preserve">, Telefoons en Laptops </w:t>
            </w:r>
            <w:r>
              <w:rPr>
                <w:rFonts w:ascii="Verdana" w:hAnsi="Verdana" w:cs="Arial"/>
                <w:sz w:val="18"/>
                <w:szCs w:val="18"/>
              </w:rPr>
              <w:t>(</w:t>
            </w:r>
            <w:r w:rsidRPr="001339EA">
              <w:rPr>
                <w:rFonts w:ascii="Verdana" w:hAnsi="Verdana" w:cs="Arial"/>
                <w:sz w:val="18"/>
                <w:szCs w:val="18"/>
              </w:rPr>
              <w:t>van 3 naar 4 jaar</w:t>
            </w:r>
            <w:r>
              <w:rPr>
                <w:rFonts w:ascii="Verdana" w:hAnsi="Verdana" w:cs="Arial"/>
                <w:sz w:val="18"/>
                <w:szCs w:val="18"/>
              </w:rPr>
              <w:t>)</w:t>
            </w:r>
          </w:p>
        </w:tc>
        <w:tc>
          <w:tcPr>
            <w:tcW w:w="2176" w:type="dxa"/>
          </w:tcPr>
          <w:p w14:paraId="4508D092" w14:textId="1AF1D58B" w:rsidR="00491383" w:rsidRDefault="00491383" w:rsidP="003F6521">
            <w:pPr>
              <w:jc w:val="center"/>
              <w:rPr>
                <w:rFonts w:ascii="Verdana" w:hAnsi="Verdana"/>
                <w:sz w:val="18"/>
                <w:szCs w:val="18"/>
              </w:rPr>
            </w:pPr>
            <w:r>
              <w:rPr>
                <w:rFonts w:ascii="Verdana" w:hAnsi="Verdana"/>
                <w:sz w:val="18"/>
                <w:szCs w:val="18"/>
              </w:rPr>
              <w:t xml:space="preserve">€ </w:t>
            </w:r>
            <w:r w:rsidR="00917E96">
              <w:rPr>
                <w:rFonts w:ascii="Verdana" w:hAnsi="Verdana"/>
                <w:sz w:val="18"/>
                <w:szCs w:val="18"/>
              </w:rPr>
              <w:t>2</w:t>
            </w:r>
            <w:r>
              <w:rPr>
                <w:rFonts w:ascii="Verdana" w:hAnsi="Verdana"/>
                <w:sz w:val="18"/>
                <w:szCs w:val="18"/>
              </w:rPr>
              <w:t>0.000</w:t>
            </w:r>
          </w:p>
        </w:tc>
      </w:tr>
      <w:tr w:rsidR="00E527B8" w14:paraId="5CA65E30" w14:textId="77777777" w:rsidTr="003F6521">
        <w:tc>
          <w:tcPr>
            <w:tcW w:w="704" w:type="dxa"/>
          </w:tcPr>
          <w:p w14:paraId="2434D8BD" w14:textId="3D026CC4" w:rsidR="00E527B8" w:rsidRDefault="00952024">
            <w:pPr>
              <w:rPr>
                <w:rFonts w:ascii="Verdana" w:hAnsi="Verdana"/>
                <w:sz w:val="18"/>
                <w:szCs w:val="18"/>
              </w:rPr>
            </w:pPr>
            <w:r>
              <w:rPr>
                <w:rFonts w:ascii="Verdana" w:hAnsi="Verdana"/>
                <w:sz w:val="18"/>
                <w:szCs w:val="18"/>
              </w:rPr>
              <w:t>11</w:t>
            </w:r>
          </w:p>
        </w:tc>
        <w:tc>
          <w:tcPr>
            <w:tcW w:w="5337" w:type="dxa"/>
          </w:tcPr>
          <w:p w14:paraId="1A6B89E7" w14:textId="648109B4" w:rsidR="00E527B8" w:rsidRDefault="007C0AD1">
            <w:pPr>
              <w:rPr>
                <w:rFonts w:ascii="Verdana" w:hAnsi="Verdana"/>
                <w:sz w:val="18"/>
                <w:szCs w:val="18"/>
              </w:rPr>
            </w:pPr>
            <w:r>
              <w:rPr>
                <w:rFonts w:ascii="Verdana" w:hAnsi="Verdana"/>
                <w:sz w:val="18"/>
                <w:szCs w:val="18"/>
              </w:rPr>
              <w:t>Overdragen beheer archief</w:t>
            </w:r>
          </w:p>
        </w:tc>
        <w:tc>
          <w:tcPr>
            <w:tcW w:w="2176" w:type="dxa"/>
          </w:tcPr>
          <w:p w14:paraId="2A962216" w14:textId="3D00EAF2" w:rsidR="00E527B8" w:rsidRDefault="007C0AD1" w:rsidP="003F6521">
            <w:pPr>
              <w:jc w:val="center"/>
              <w:rPr>
                <w:rFonts w:ascii="Verdana" w:hAnsi="Verdana"/>
                <w:sz w:val="18"/>
                <w:szCs w:val="18"/>
              </w:rPr>
            </w:pPr>
            <w:r>
              <w:rPr>
                <w:rFonts w:ascii="Verdana" w:hAnsi="Verdana"/>
                <w:sz w:val="18"/>
                <w:szCs w:val="18"/>
              </w:rPr>
              <w:t>€ 70.000</w:t>
            </w:r>
          </w:p>
        </w:tc>
      </w:tr>
      <w:tr w:rsidR="00491383" w14:paraId="325221A2" w14:textId="77777777" w:rsidTr="00AD0713">
        <w:tc>
          <w:tcPr>
            <w:tcW w:w="704" w:type="dxa"/>
            <w:shd w:val="clear" w:color="auto" w:fill="BFBFBF" w:themeFill="background1" w:themeFillShade="BF"/>
          </w:tcPr>
          <w:p w14:paraId="2B207FA7" w14:textId="77777777" w:rsidR="00491383" w:rsidRDefault="00491383">
            <w:pPr>
              <w:rPr>
                <w:rFonts w:ascii="Verdana" w:hAnsi="Verdana"/>
                <w:sz w:val="18"/>
                <w:szCs w:val="18"/>
              </w:rPr>
            </w:pPr>
          </w:p>
        </w:tc>
        <w:tc>
          <w:tcPr>
            <w:tcW w:w="5337" w:type="dxa"/>
            <w:shd w:val="clear" w:color="auto" w:fill="BFBFBF" w:themeFill="background1" w:themeFillShade="BF"/>
          </w:tcPr>
          <w:p w14:paraId="18CDE850" w14:textId="4B54E4BD" w:rsidR="00491383" w:rsidRPr="00920A42" w:rsidRDefault="00920A42" w:rsidP="00DA2009">
            <w:pPr>
              <w:jc w:val="right"/>
              <w:rPr>
                <w:rFonts w:ascii="Verdana" w:hAnsi="Verdana" w:cs="Arial"/>
                <w:b/>
                <w:bCs/>
                <w:sz w:val="18"/>
                <w:szCs w:val="18"/>
              </w:rPr>
            </w:pPr>
            <w:r w:rsidRPr="00920A42">
              <w:rPr>
                <w:rFonts w:ascii="Verdana" w:hAnsi="Verdana" w:cs="Arial"/>
                <w:b/>
                <w:bCs/>
                <w:sz w:val="18"/>
                <w:szCs w:val="18"/>
              </w:rPr>
              <w:t>Totaal</w:t>
            </w:r>
          </w:p>
        </w:tc>
        <w:tc>
          <w:tcPr>
            <w:tcW w:w="2176" w:type="dxa"/>
            <w:shd w:val="clear" w:color="auto" w:fill="BFBFBF" w:themeFill="background1" w:themeFillShade="BF"/>
          </w:tcPr>
          <w:p w14:paraId="2E55F2D8" w14:textId="7C8E7399" w:rsidR="00491383" w:rsidRPr="00DA2009" w:rsidRDefault="00920A42" w:rsidP="003F6521">
            <w:pPr>
              <w:jc w:val="center"/>
              <w:rPr>
                <w:rFonts w:ascii="Verdana" w:hAnsi="Verdana"/>
                <w:b/>
                <w:bCs/>
                <w:sz w:val="18"/>
                <w:szCs w:val="18"/>
              </w:rPr>
            </w:pPr>
            <w:r w:rsidRPr="00DA2009">
              <w:rPr>
                <w:rFonts w:ascii="Verdana" w:hAnsi="Verdana"/>
                <w:b/>
                <w:bCs/>
                <w:sz w:val="18"/>
                <w:szCs w:val="18"/>
              </w:rPr>
              <w:t>€ 1</w:t>
            </w:r>
            <w:r w:rsidR="00302B0C" w:rsidRPr="00DA2009">
              <w:rPr>
                <w:rFonts w:ascii="Verdana" w:hAnsi="Verdana"/>
                <w:b/>
                <w:bCs/>
                <w:sz w:val="18"/>
                <w:szCs w:val="18"/>
              </w:rPr>
              <w:t>76</w:t>
            </w:r>
            <w:r w:rsidRPr="00DA2009">
              <w:rPr>
                <w:rFonts w:ascii="Verdana" w:hAnsi="Verdana"/>
                <w:b/>
                <w:bCs/>
                <w:sz w:val="18"/>
                <w:szCs w:val="18"/>
              </w:rPr>
              <w:t>.000</w:t>
            </w:r>
          </w:p>
        </w:tc>
      </w:tr>
    </w:tbl>
    <w:p w14:paraId="4B6F89CF" w14:textId="4CDE47F1" w:rsidR="00195CC2" w:rsidRDefault="00195CC2" w:rsidP="00491383">
      <w:pPr>
        <w:spacing w:line="240" w:lineRule="auto"/>
        <w:rPr>
          <w:rFonts w:ascii="Verdana" w:hAnsi="Verdana"/>
          <w:sz w:val="18"/>
          <w:szCs w:val="18"/>
        </w:rPr>
      </w:pPr>
    </w:p>
    <w:p w14:paraId="0BC5F523" w14:textId="01A3ED52" w:rsidR="00DC52DC" w:rsidRPr="00DA5799" w:rsidRDefault="00DC52DC" w:rsidP="00DA5799">
      <w:pPr>
        <w:spacing w:after="100" w:afterAutospacing="1" w:line="240" w:lineRule="auto"/>
        <w:contextualSpacing/>
        <w:rPr>
          <w:rFonts w:ascii="Verdana" w:hAnsi="Verdana"/>
          <w:b/>
          <w:bCs/>
          <w:sz w:val="18"/>
          <w:szCs w:val="18"/>
        </w:rPr>
      </w:pPr>
      <w:r w:rsidRPr="00DA5799">
        <w:rPr>
          <w:rFonts w:ascii="Verdana" w:hAnsi="Verdana"/>
          <w:b/>
          <w:bCs/>
          <w:sz w:val="18"/>
          <w:szCs w:val="18"/>
        </w:rPr>
        <w:t>Bijlagen</w:t>
      </w:r>
    </w:p>
    <w:p w14:paraId="4C4CF608" w14:textId="1E07EA12" w:rsidR="00DC52DC" w:rsidRDefault="00DC52DC" w:rsidP="7B0164AA">
      <w:pPr>
        <w:spacing w:after="100" w:afterAutospacing="1" w:line="240" w:lineRule="auto"/>
        <w:contextualSpacing/>
        <w:rPr>
          <w:rFonts w:ascii="Verdana" w:hAnsi="Verdana"/>
          <w:sz w:val="18"/>
          <w:szCs w:val="18"/>
        </w:rPr>
      </w:pPr>
      <w:r w:rsidRPr="00AC3493">
        <w:rPr>
          <w:rFonts w:ascii="Verdana" w:hAnsi="Verdana"/>
          <w:sz w:val="18"/>
          <w:szCs w:val="18"/>
        </w:rPr>
        <w:t xml:space="preserve">In </w:t>
      </w:r>
      <w:r w:rsidR="00AB3BA5" w:rsidRPr="00AC3493">
        <w:rPr>
          <w:rFonts w:ascii="Verdana" w:hAnsi="Verdana"/>
          <w:sz w:val="18"/>
          <w:szCs w:val="18"/>
        </w:rPr>
        <w:t xml:space="preserve">bijlage </w:t>
      </w:r>
      <w:r w:rsidRPr="00AC3493">
        <w:rPr>
          <w:rFonts w:ascii="Verdana" w:hAnsi="Verdana"/>
          <w:sz w:val="18"/>
          <w:szCs w:val="18"/>
        </w:rPr>
        <w:t>tabel 1 zijn alle voor</w:t>
      </w:r>
      <w:r w:rsidR="00AB3BA5" w:rsidRPr="00AC3493">
        <w:rPr>
          <w:rFonts w:ascii="Verdana" w:hAnsi="Verdana"/>
          <w:sz w:val="18"/>
          <w:szCs w:val="18"/>
        </w:rPr>
        <w:t>ge</w:t>
      </w:r>
      <w:r w:rsidRPr="00AC3493">
        <w:rPr>
          <w:rFonts w:ascii="Verdana" w:hAnsi="Verdana"/>
          <w:sz w:val="18"/>
          <w:szCs w:val="18"/>
        </w:rPr>
        <w:t>stelde besparingsmaatregelen</w:t>
      </w:r>
      <w:r w:rsidR="00013C94" w:rsidRPr="00AC3493">
        <w:rPr>
          <w:rFonts w:ascii="Verdana" w:hAnsi="Verdana"/>
          <w:sz w:val="18"/>
          <w:szCs w:val="18"/>
        </w:rPr>
        <w:t xml:space="preserve"> voor het 3% besparingsscenario </w:t>
      </w:r>
      <w:r w:rsidR="0028551F">
        <w:rPr>
          <w:rFonts w:ascii="Verdana" w:hAnsi="Verdana"/>
          <w:sz w:val="18"/>
          <w:szCs w:val="18"/>
        </w:rPr>
        <w:t>opgenomen</w:t>
      </w:r>
      <w:r w:rsidR="002179FA" w:rsidRPr="00AC3493">
        <w:rPr>
          <w:rFonts w:ascii="Verdana" w:hAnsi="Verdana"/>
          <w:sz w:val="18"/>
          <w:szCs w:val="18"/>
        </w:rPr>
        <w:t xml:space="preserve"> </w:t>
      </w:r>
      <w:r w:rsidR="00DD2B57">
        <w:rPr>
          <w:rFonts w:ascii="Verdana" w:hAnsi="Verdana"/>
          <w:sz w:val="18"/>
          <w:szCs w:val="18"/>
        </w:rPr>
        <w:t xml:space="preserve">inclusief </w:t>
      </w:r>
      <w:r w:rsidR="4C3A18D8" w:rsidRPr="00AC3493">
        <w:rPr>
          <w:rFonts w:ascii="Verdana" w:hAnsi="Verdana"/>
          <w:sz w:val="18"/>
          <w:szCs w:val="18"/>
        </w:rPr>
        <w:t xml:space="preserve">de </w:t>
      </w:r>
      <w:r w:rsidR="001B004F" w:rsidRPr="00AC3493">
        <w:rPr>
          <w:rFonts w:ascii="Verdana" w:hAnsi="Verdana"/>
          <w:sz w:val="18"/>
          <w:szCs w:val="18"/>
        </w:rPr>
        <w:t xml:space="preserve">verwachte </w:t>
      </w:r>
      <w:r w:rsidR="002179FA" w:rsidRPr="00AC3493">
        <w:rPr>
          <w:rFonts w:ascii="Verdana" w:hAnsi="Verdana"/>
          <w:sz w:val="18"/>
          <w:szCs w:val="18"/>
        </w:rPr>
        <w:t>impact en risico</w:t>
      </w:r>
      <w:r w:rsidR="1C6A5B32" w:rsidRPr="00AC3493">
        <w:rPr>
          <w:rFonts w:ascii="Verdana" w:hAnsi="Verdana"/>
          <w:sz w:val="18"/>
          <w:szCs w:val="18"/>
        </w:rPr>
        <w:t>'s.</w:t>
      </w:r>
      <w:r w:rsidR="00013C94" w:rsidRPr="00AC3493">
        <w:rPr>
          <w:rFonts w:ascii="Verdana" w:hAnsi="Verdana"/>
          <w:sz w:val="18"/>
          <w:szCs w:val="18"/>
        </w:rPr>
        <w:t xml:space="preserve"> </w:t>
      </w:r>
      <w:r w:rsidR="001B004F" w:rsidRPr="00AC3493">
        <w:rPr>
          <w:rFonts w:ascii="Verdana" w:hAnsi="Verdana"/>
          <w:sz w:val="18"/>
          <w:szCs w:val="18"/>
        </w:rPr>
        <w:t xml:space="preserve">In </w:t>
      </w:r>
      <w:r w:rsidR="00AB3BA5" w:rsidRPr="00AC3493">
        <w:rPr>
          <w:rFonts w:ascii="Verdana" w:hAnsi="Verdana"/>
          <w:sz w:val="18"/>
          <w:szCs w:val="18"/>
        </w:rPr>
        <w:t xml:space="preserve">bijlage </w:t>
      </w:r>
      <w:r w:rsidR="001B004F" w:rsidRPr="00AC3493">
        <w:rPr>
          <w:rFonts w:ascii="Verdana" w:hAnsi="Verdana"/>
          <w:sz w:val="18"/>
          <w:szCs w:val="18"/>
        </w:rPr>
        <w:t xml:space="preserve">tabel 2 </w:t>
      </w:r>
      <w:r w:rsidR="002328E7">
        <w:rPr>
          <w:rFonts w:ascii="Verdana" w:hAnsi="Verdana"/>
          <w:sz w:val="18"/>
          <w:szCs w:val="18"/>
        </w:rPr>
        <w:t xml:space="preserve">staan de aanvullende </w:t>
      </w:r>
      <w:r w:rsidR="001B004F" w:rsidRPr="00AC3493">
        <w:rPr>
          <w:rFonts w:ascii="Verdana" w:hAnsi="Verdana"/>
          <w:sz w:val="18"/>
          <w:szCs w:val="18"/>
        </w:rPr>
        <w:t>besparing</w:t>
      </w:r>
      <w:r w:rsidR="00425529">
        <w:rPr>
          <w:rFonts w:ascii="Verdana" w:hAnsi="Verdana"/>
          <w:sz w:val="18"/>
          <w:szCs w:val="18"/>
        </w:rPr>
        <w:t>smaatregelen om tot het 5% besparingsscenario</w:t>
      </w:r>
      <w:r w:rsidR="00E44EC2">
        <w:rPr>
          <w:rFonts w:ascii="Verdana" w:hAnsi="Verdana"/>
          <w:sz w:val="18"/>
          <w:szCs w:val="18"/>
        </w:rPr>
        <w:t xml:space="preserve"> te kunnen komen toegelicht</w:t>
      </w:r>
      <w:r w:rsidR="00D6667B" w:rsidRPr="00AC3493">
        <w:rPr>
          <w:rFonts w:ascii="Verdana" w:hAnsi="Verdana"/>
          <w:sz w:val="18"/>
          <w:szCs w:val="18"/>
        </w:rPr>
        <w:t>.</w:t>
      </w:r>
    </w:p>
    <w:p w14:paraId="4D7BF410" w14:textId="77777777" w:rsidR="00AC3493" w:rsidRDefault="00AC3493" w:rsidP="7B0164AA">
      <w:pPr>
        <w:spacing w:after="100" w:afterAutospacing="1" w:line="240" w:lineRule="auto"/>
        <w:contextualSpacing/>
        <w:rPr>
          <w:rFonts w:ascii="Verdana" w:hAnsi="Verdana"/>
          <w:sz w:val="18"/>
          <w:szCs w:val="18"/>
        </w:rPr>
      </w:pPr>
    </w:p>
    <w:p w14:paraId="3E5F5B07" w14:textId="77777777" w:rsidR="00A70F2E" w:rsidRDefault="00DC52DC" w:rsidP="2D8F7762">
      <w:pPr>
        <w:spacing w:line="240" w:lineRule="auto"/>
        <w:rPr>
          <w:rFonts w:ascii="Verdana" w:hAnsi="Verdana"/>
          <w:sz w:val="18"/>
          <w:szCs w:val="18"/>
        </w:rPr>
      </w:pPr>
      <w:r w:rsidRPr="7B0164AA">
        <w:rPr>
          <w:rFonts w:ascii="Verdana" w:hAnsi="Verdana"/>
          <w:sz w:val="18"/>
          <w:szCs w:val="18"/>
        </w:rPr>
        <w:t xml:space="preserve">Voor het </w:t>
      </w:r>
      <w:r w:rsidR="0275E877" w:rsidRPr="7B0164AA">
        <w:rPr>
          <w:rFonts w:ascii="Verdana" w:hAnsi="Verdana"/>
          <w:sz w:val="18"/>
          <w:szCs w:val="18"/>
        </w:rPr>
        <w:t xml:space="preserve">te </w:t>
      </w:r>
      <w:r w:rsidRPr="7B0164AA">
        <w:rPr>
          <w:rFonts w:ascii="Verdana" w:hAnsi="Verdana"/>
          <w:sz w:val="18"/>
          <w:szCs w:val="18"/>
        </w:rPr>
        <w:t>bepalen bedrag</w:t>
      </w:r>
      <w:r w:rsidR="1E08694D" w:rsidRPr="7B0164AA">
        <w:rPr>
          <w:rFonts w:ascii="Verdana" w:hAnsi="Verdana"/>
          <w:sz w:val="18"/>
          <w:szCs w:val="18"/>
        </w:rPr>
        <w:t xml:space="preserve"> per besparingsmaatregel</w:t>
      </w:r>
      <w:r w:rsidRPr="7B0164AA">
        <w:rPr>
          <w:rFonts w:ascii="Verdana" w:hAnsi="Verdana"/>
          <w:sz w:val="18"/>
          <w:szCs w:val="18"/>
        </w:rPr>
        <w:t xml:space="preserve"> is gebruik gemaakt van </w:t>
      </w:r>
      <w:r w:rsidR="00C913B1" w:rsidRPr="7B0164AA">
        <w:rPr>
          <w:rFonts w:ascii="Verdana" w:hAnsi="Verdana"/>
          <w:sz w:val="18"/>
          <w:szCs w:val="18"/>
        </w:rPr>
        <w:t xml:space="preserve">de gerealiseerde </w:t>
      </w:r>
      <w:r w:rsidRPr="7B0164AA">
        <w:rPr>
          <w:rFonts w:ascii="Verdana" w:hAnsi="Verdana"/>
          <w:sz w:val="18"/>
          <w:szCs w:val="18"/>
        </w:rPr>
        <w:t>cijfers 2024</w:t>
      </w:r>
      <w:r w:rsidR="00A334CF" w:rsidRPr="7B0164AA">
        <w:rPr>
          <w:rFonts w:ascii="Verdana" w:hAnsi="Verdana"/>
          <w:sz w:val="18"/>
          <w:szCs w:val="18"/>
        </w:rPr>
        <w:t xml:space="preserve"> voor de jaarrekening</w:t>
      </w:r>
      <w:r w:rsidRPr="7B0164AA">
        <w:rPr>
          <w:rFonts w:ascii="Verdana" w:hAnsi="Verdana"/>
          <w:sz w:val="18"/>
          <w:szCs w:val="18"/>
        </w:rPr>
        <w:t xml:space="preserve"> en/of </w:t>
      </w:r>
      <w:r w:rsidR="00A334CF" w:rsidRPr="7B0164AA">
        <w:rPr>
          <w:rFonts w:ascii="Verdana" w:hAnsi="Verdana"/>
          <w:sz w:val="18"/>
          <w:szCs w:val="18"/>
        </w:rPr>
        <w:t>getallen</w:t>
      </w:r>
      <w:r w:rsidRPr="7B0164AA">
        <w:rPr>
          <w:rFonts w:ascii="Verdana" w:hAnsi="Verdana"/>
          <w:sz w:val="18"/>
          <w:szCs w:val="18"/>
        </w:rPr>
        <w:t xml:space="preserve"> in het UP 2024 en 2025. Op </w:t>
      </w:r>
      <w:r w:rsidR="00A334CF" w:rsidRPr="7B0164AA">
        <w:rPr>
          <w:rFonts w:ascii="Verdana" w:hAnsi="Verdana"/>
          <w:sz w:val="18"/>
          <w:szCs w:val="18"/>
        </w:rPr>
        <w:t xml:space="preserve">diverse </w:t>
      </w:r>
      <w:r w:rsidRPr="7B0164AA">
        <w:rPr>
          <w:rFonts w:ascii="Verdana" w:hAnsi="Verdana"/>
          <w:sz w:val="18"/>
          <w:szCs w:val="18"/>
        </w:rPr>
        <w:t xml:space="preserve">onderdelen bevat het </w:t>
      </w:r>
      <w:r w:rsidR="0054271B" w:rsidRPr="7B0164AA">
        <w:rPr>
          <w:rFonts w:ascii="Verdana" w:hAnsi="Verdana"/>
          <w:sz w:val="18"/>
          <w:szCs w:val="18"/>
        </w:rPr>
        <w:t>voorgestelde besparings</w:t>
      </w:r>
      <w:r w:rsidR="00D6667B" w:rsidRPr="7B0164AA">
        <w:rPr>
          <w:rFonts w:ascii="Verdana" w:hAnsi="Verdana"/>
          <w:sz w:val="18"/>
          <w:szCs w:val="18"/>
        </w:rPr>
        <w:t xml:space="preserve">bedrag een indicatie omdat het onderliggende </w:t>
      </w:r>
      <w:r w:rsidR="0085445A" w:rsidRPr="7B0164AA">
        <w:rPr>
          <w:rFonts w:ascii="Verdana" w:hAnsi="Verdana"/>
          <w:sz w:val="18"/>
          <w:szCs w:val="18"/>
        </w:rPr>
        <w:t>plan nog nader uitgewerkt moet worden.</w:t>
      </w:r>
      <w:r w:rsidR="0030070B" w:rsidRPr="7B0164AA">
        <w:rPr>
          <w:rFonts w:ascii="Verdana" w:hAnsi="Verdana"/>
          <w:sz w:val="18"/>
          <w:szCs w:val="18"/>
        </w:rPr>
        <w:t xml:space="preserve"> Dit was in het beschikbare tijdbestek</w:t>
      </w:r>
      <w:r w:rsidR="000B6B22" w:rsidRPr="7B0164AA">
        <w:rPr>
          <w:rFonts w:ascii="Verdana" w:hAnsi="Verdana"/>
          <w:sz w:val="18"/>
          <w:szCs w:val="18"/>
        </w:rPr>
        <w:t xml:space="preserve"> voor dit traject</w:t>
      </w:r>
      <w:r w:rsidR="0030070B" w:rsidRPr="7B0164AA">
        <w:rPr>
          <w:rFonts w:ascii="Verdana" w:hAnsi="Verdana"/>
          <w:sz w:val="18"/>
          <w:szCs w:val="18"/>
        </w:rPr>
        <w:t xml:space="preserve"> </w:t>
      </w:r>
      <w:r w:rsidR="000B6B22" w:rsidRPr="7B0164AA">
        <w:rPr>
          <w:rFonts w:ascii="Verdana" w:hAnsi="Verdana"/>
          <w:sz w:val="18"/>
          <w:szCs w:val="18"/>
        </w:rPr>
        <w:t xml:space="preserve">(nog) </w:t>
      </w:r>
      <w:r w:rsidR="0030070B" w:rsidRPr="7B0164AA">
        <w:rPr>
          <w:rFonts w:ascii="Verdana" w:hAnsi="Verdana"/>
          <w:sz w:val="18"/>
          <w:szCs w:val="18"/>
        </w:rPr>
        <w:t xml:space="preserve">niet mogelijk. </w:t>
      </w:r>
      <w:r w:rsidR="00C36DFE" w:rsidRPr="7B0164AA">
        <w:rPr>
          <w:rFonts w:ascii="Verdana" w:hAnsi="Verdana"/>
          <w:sz w:val="18"/>
          <w:szCs w:val="18"/>
        </w:rPr>
        <w:t>Daar</w:t>
      </w:r>
      <w:r w:rsidR="00063B9F" w:rsidRPr="7B0164AA">
        <w:rPr>
          <w:rFonts w:ascii="Verdana" w:hAnsi="Verdana"/>
          <w:sz w:val="18"/>
          <w:szCs w:val="18"/>
        </w:rPr>
        <w:t xml:space="preserve">bij </w:t>
      </w:r>
      <w:r w:rsidR="00A031AB" w:rsidRPr="7B0164AA">
        <w:rPr>
          <w:rFonts w:ascii="Verdana" w:hAnsi="Verdana"/>
          <w:sz w:val="18"/>
          <w:szCs w:val="18"/>
        </w:rPr>
        <w:t xml:space="preserve">vraagt een </w:t>
      </w:r>
      <w:r w:rsidR="00063B9F" w:rsidRPr="7B0164AA">
        <w:rPr>
          <w:rFonts w:ascii="Verdana" w:hAnsi="Verdana"/>
          <w:sz w:val="18"/>
          <w:szCs w:val="18"/>
        </w:rPr>
        <w:t>eventu</w:t>
      </w:r>
      <w:r w:rsidR="00A031AB" w:rsidRPr="7B0164AA">
        <w:rPr>
          <w:rFonts w:ascii="Verdana" w:hAnsi="Verdana"/>
          <w:sz w:val="18"/>
          <w:szCs w:val="18"/>
        </w:rPr>
        <w:t>e</w:t>
      </w:r>
      <w:r w:rsidR="00063B9F" w:rsidRPr="7B0164AA">
        <w:rPr>
          <w:rFonts w:ascii="Verdana" w:hAnsi="Verdana"/>
          <w:sz w:val="18"/>
          <w:szCs w:val="18"/>
        </w:rPr>
        <w:t xml:space="preserve">el besluit met </w:t>
      </w:r>
      <w:r w:rsidR="00C36DFE" w:rsidRPr="7B0164AA">
        <w:rPr>
          <w:rFonts w:ascii="Verdana" w:hAnsi="Verdana"/>
          <w:sz w:val="18"/>
          <w:szCs w:val="18"/>
        </w:rPr>
        <w:t>personele</w:t>
      </w:r>
      <w:r w:rsidR="009212F2" w:rsidRPr="7B0164AA">
        <w:rPr>
          <w:rFonts w:ascii="Verdana" w:hAnsi="Verdana"/>
          <w:sz w:val="18"/>
          <w:szCs w:val="18"/>
        </w:rPr>
        <w:t xml:space="preserve"> </w:t>
      </w:r>
      <w:r w:rsidR="00063B9F" w:rsidRPr="7B0164AA">
        <w:rPr>
          <w:rFonts w:ascii="Verdana" w:hAnsi="Verdana"/>
          <w:sz w:val="18"/>
          <w:szCs w:val="18"/>
        </w:rPr>
        <w:t>consequenties</w:t>
      </w:r>
      <w:r w:rsidR="009212F2" w:rsidRPr="7B0164AA">
        <w:rPr>
          <w:rFonts w:ascii="Verdana" w:hAnsi="Verdana"/>
          <w:sz w:val="18"/>
          <w:szCs w:val="18"/>
        </w:rPr>
        <w:t xml:space="preserve"> om een </w:t>
      </w:r>
      <w:r w:rsidR="005423EC" w:rsidRPr="7B0164AA">
        <w:rPr>
          <w:rFonts w:ascii="Verdana" w:hAnsi="Verdana"/>
          <w:sz w:val="18"/>
          <w:szCs w:val="18"/>
        </w:rPr>
        <w:t>zorgvuldig plan van aanpak met een langere doorlooptijd.</w:t>
      </w:r>
      <w:r w:rsidR="009212F2" w:rsidRPr="7B0164AA">
        <w:rPr>
          <w:rFonts w:ascii="Verdana" w:hAnsi="Verdana"/>
          <w:sz w:val="18"/>
          <w:szCs w:val="18"/>
        </w:rPr>
        <w:t xml:space="preserve"> </w:t>
      </w:r>
      <w:r w:rsidR="0054271B" w:rsidRPr="7B0164AA">
        <w:rPr>
          <w:rFonts w:ascii="Verdana" w:hAnsi="Verdana"/>
          <w:sz w:val="18"/>
          <w:szCs w:val="18"/>
        </w:rPr>
        <w:t xml:space="preserve">De eventuele </w:t>
      </w:r>
      <w:r w:rsidR="0047537E" w:rsidRPr="7B0164AA">
        <w:rPr>
          <w:rFonts w:ascii="Verdana" w:hAnsi="Verdana"/>
          <w:sz w:val="18"/>
          <w:szCs w:val="18"/>
        </w:rPr>
        <w:t xml:space="preserve">effecten van </w:t>
      </w:r>
      <w:r w:rsidR="0054271B" w:rsidRPr="7B0164AA">
        <w:rPr>
          <w:rFonts w:ascii="Verdana" w:hAnsi="Verdana"/>
          <w:sz w:val="18"/>
          <w:szCs w:val="18"/>
        </w:rPr>
        <w:t xml:space="preserve">(meer)kosten en/of (in)directe kosten </w:t>
      </w:r>
      <w:r w:rsidR="0047537E" w:rsidRPr="7B0164AA">
        <w:rPr>
          <w:rFonts w:ascii="Verdana" w:hAnsi="Verdana"/>
          <w:sz w:val="18"/>
          <w:szCs w:val="18"/>
        </w:rPr>
        <w:t xml:space="preserve">voor een deelnemer als gevolg van een besparing voor OD NHN zijn niet </w:t>
      </w:r>
      <w:r w:rsidR="00317594" w:rsidRPr="7B0164AA">
        <w:rPr>
          <w:rFonts w:ascii="Verdana" w:hAnsi="Verdana"/>
          <w:sz w:val="18"/>
          <w:szCs w:val="18"/>
        </w:rPr>
        <w:t xml:space="preserve">bekend en/of in kaart gebracht. </w:t>
      </w:r>
      <w:r w:rsidR="00DA5799" w:rsidRPr="7B0164AA">
        <w:rPr>
          <w:rFonts w:ascii="Verdana" w:hAnsi="Verdana"/>
          <w:sz w:val="18"/>
          <w:szCs w:val="18"/>
        </w:rPr>
        <w:t xml:space="preserve">Bij de bepaling </w:t>
      </w:r>
      <w:r w:rsidR="009D332B" w:rsidRPr="7B0164AA">
        <w:rPr>
          <w:rFonts w:ascii="Verdana" w:hAnsi="Verdana"/>
          <w:sz w:val="18"/>
          <w:szCs w:val="18"/>
        </w:rPr>
        <w:t xml:space="preserve">van de omvang van de </w:t>
      </w:r>
      <w:r w:rsidR="00DB43EF" w:rsidRPr="7B0164AA">
        <w:rPr>
          <w:rFonts w:ascii="Verdana" w:hAnsi="Verdana"/>
          <w:sz w:val="18"/>
          <w:szCs w:val="18"/>
        </w:rPr>
        <w:t>besparing op uitvoering</w:t>
      </w:r>
      <w:r w:rsidR="675C3F67" w:rsidRPr="7B0164AA">
        <w:rPr>
          <w:rFonts w:ascii="Verdana" w:hAnsi="Verdana"/>
          <w:sz w:val="18"/>
          <w:szCs w:val="18"/>
        </w:rPr>
        <w:t>s</w:t>
      </w:r>
      <w:r w:rsidR="00DB43EF" w:rsidRPr="7B0164AA">
        <w:rPr>
          <w:rFonts w:ascii="Verdana" w:hAnsi="Verdana"/>
          <w:sz w:val="18"/>
          <w:szCs w:val="18"/>
        </w:rPr>
        <w:t>taken is gerekend met</w:t>
      </w:r>
      <w:r w:rsidR="009D332B" w:rsidRPr="7B0164AA">
        <w:rPr>
          <w:rFonts w:ascii="Verdana" w:hAnsi="Verdana"/>
          <w:sz w:val="18"/>
          <w:szCs w:val="18"/>
        </w:rPr>
        <w:t xml:space="preserve"> een gedeelte van het uurtarief 2026 omdat niet </w:t>
      </w:r>
      <w:r w:rsidR="00C05D2F" w:rsidRPr="7B0164AA">
        <w:rPr>
          <w:rFonts w:ascii="Verdana" w:hAnsi="Verdana"/>
          <w:sz w:val="18"/>
          <w:szCs w:val="18"/>
        </w:rPr>
        <w:t>op alle overhead en/of materiële kosten</w:t>
      </w:r>
      <w:r w:rsidR="000437A0" w:rsidRPr="7B0164AA">
        <w:rPr>
          <w:rFonts w:ascii="Verdana" w:hAnsi="Verdana"/>
          <w:sz w:val="18"/>
          <w:szCs w:val="18"/>
        </w:rPr>
        <w:t xml:space="preserve"> van de OD NHN</w:t>
      </w:r>
      <w:r w:rsidR="00C05D2F" w:rsidRPr="7B0164AA">
        <w:rPr>
          <w:rFonts w:ascii="Verdana" w:hAnsi="Verdana"/>
          <w:sz w:val="18"/>
          <w:szCs w:val="18"/>
        </w:rPr>
        <w:t xml:space="preserve"> een gelijk </w:t>
      </w:r>
      <w:r w:rsidR="00B7606B" w:rsidRPr="7B0164AA">
        <w:rPr>
          <w:rFonts w:ascii="Verdana" w:hAnsi="Verdana"/>
          <w:sz w:val="18"/>
          <w:szCs w:val="18"/>
        </w:rPr>
        <w:t>aan</w:t>
      </w:r>
      <w:r w:rsidR="00C05D2F" w:rsidRPr="7B0164AA">
        <w:rPr>
          <w:rFonts w:ascii="Verdana" w:hAnsi="Verdana"/>
          <w:sz w:val="18"/>
          <w:szCs w:val="18"/>
        </w:rPr>
        <w:t>deel bespaard kan worden</w:t>
      </w:r>
      <w:r w:rsidR="00F717DB" w:rsidRPr="7B0164AA">
        <w:rPr>
          <w:rFonts w:ascii="Verdana" w:hAnsi="Verdana"/>
          <w:sz w:val="18"/>
          <w:szCs w:val="18"/>
        </w:rPr>
        <w:t xml:space="preserve"> bij het versoberen, </w:t>
      </w:r>
      <w:r w:rsidR="00CA1122" w:rsidRPr="7B0164AA">
        <w:rPr>
          <w:rFonts w:ascii="Verdana" w:hAnsi="Verdana"/>
          <w:sz w:val="18"/>
          <w:szCs w:val="18"/>
        </w:rPr>
        <w:t>staken</w:t>
      </w:r>
      <w:r w:rsidR="00F717DB" w:rsidRPr="7B0164AA">
        <w:rPr>
          <w:rFonts w:ascii="Verdana" w:hAnsi="Verdana"/>
          <w:sz w:val="18"/>
          <w:szCs w:val="18"/>
        </w:rPr>
        <w:t xml:space="preserve"> en/of </w:t>
      </w:r>
      <w:r w:rsidR="00CA1122" w:rsidRPr="7B0164AA">
        <w:rPr>
          <w:rFonts w:ascii="Verdana" w:hAnsi="Verdana"/>
          <w:sz w:val="18"/>
          <w:szCs w:val="18"/>
        </w:rPr>
        <w:t>verminderen van een specifieke uitvoeringstaak.</w:t>
      </w:r>
    </w:p>
    <w:p w14:paraId="15C5C638" w14:textId="523BDE61" w:rsidR="00F46C2E" w:rsidRDefault="00F46C2E" w:rsidP="2D8F7762">
      <w:pPr>
        <w:spacing w:line="240" w:lineRule="auto"/>
        <w:rPr>
          <w:rFonts w:ascii="Verdana" w:hAnsi="Verdana"/>
          <w:sz w:val="18"/>
          <w:szCs w:val="18"/>
        </w:rPr>
        <w:sectPr w:rsidR="00F46C2E" w:rsidSect="00FC16B2">
          <w:footerReference w:type="default" r:id="rId12"/>
          <w:pgSz w:w="11906" w:h="16838"/>
          <w:pgMar w:top="1417" w:right="1417" w:bottom="1417" w:left="1417" w:header="708" w:footer="708" w:gutter="0"/>
          <w:cols w:space="708"/>
          <w:docGrid w:linePitch="360"/>
        </w:sectPr>
      </w:pPr>
    </w:p>
    <w:p w14:paraId="1D896B8C" w14:textId="76AAB9FA" w:rsidR="00A3257F" w:rsidRPr="00475DB6" w:rsidRDefault="00A3257F" w:rsidP="00A3257F">
      <w:pPr>
        <w:spacing w:line="240" w:lineRule="auto"/>
        <w:rPr>
          <w:rFonts w:ascii="Verdana" w:hAnsi="Verdana"/>
          <w:b/>
          <w:bCs/>
          <w:sz w:val="18"/>
          <w:szCs w:val="18"/>
        </w:rPr>
      </w:pPr>
      <w:r w:rsidRPr="00475DB6">
        <w:rPr>
          <w:rFonts w:ascii="Verdana" w:hAnsi="Verdana"/>
          <w:b/>
          <w:bCs/>
          <w:sz w:val="18"/>
          <w:szCs w:val="18"/>
        </w:rPr>
        <w:t xml:space="preserve">Tabel </w:t>
      </w:r>
      <w:r w:rsidR="00B11477" w:rsidRPr="00475DB6">
        <w:rPr>
          <w:rFonts w:ascii="Verdana" w:hAnsi="Verdana"/>
          <w:b/>
          <w:bCs/>
          <w:sz w:val="18"/>
          <w:szCs w:val="18"/>
        </w:rPr>
        <w:t>1</w:t>
      </w:r>
      <w:r w:rsidRPr="00475DB6">
        <w:rPr>
          <w:rFonts w:ascii="Verdana" w:hAnsi="Verdana"/>
          <w:b/>
          <w:bCs/>
          <w:sz w:val="18"/>
          <w:szCs w:val="18"/>
        </w:rPr>
        <w:t xml:space="preserve"> Specificatie voorgestelde be</w:t>
      </w:r>
      <w:r w:rsidR="00F10A61" w:rsidRPr="00475DB6">
        <w:rPr>
          <w:rFonts w:ascii="Verdana" w:hAnsi="Verdana"/>
          <w:b/>
          <w:bCs/>
          <w:sz w:val="18"/>
          <w:szCs w:val="18"/>
        </w:rPr>
        <w:t>sparings</w:t>
      </w:r>
      <w:r w:rsidRPr="00475DB6">
        <w:rPr>
          <w:rFonts w:ascii="Verdana" w:hAnsi="Verdana"/>
          <w:b/>
          <w:bCs/>
          <w:sz w:val="18"/>
          <w:szCs w:val="18"/>
        </w:rPr>
        <w:t xml:space="preserve">maatregelen t/m </w:t>
      </w:r>
      <w:r w:rsidR="00B11477" w:rsidRPr="00475DB6">
        <w:rPr>
          <w:rFonts w:ascii="Verdana" w:hAnsi="Verdana"/>
          <w:b/>
          <w:bCs/>
          <w:sz w:val="18"/>
          <w:szCs w:val="18"/>
        </w:rPr>
        <w:t>3</w:t>
      </w:r>
      <w:r w:rsidRPr="00475DB6">
        <w:rPr>
          <w:rFonts w:ascii="Verdana" w:hAnsi="Verdana"/>
          <w:b/>
          <w:bCs/>
          <w:sz w:val="18"/>
          <w:szCs w:val="18"/>
        </w:rPr>
        <w:t>%</w:t>
      </w:r>
    </w:p>
    <w:tbl>
      <w:tblPr>
        <w:tblStyle w:val="Tabelraster"/>
        <w:tblW w:w="15021" w:type="dxa"/>
        <w:tblLayout w:type="fixed"/>
        <w:tblLook w:val="04A0" w:firstRow="1" w:lastRow="0" w:firstColumn="1" w:lastColumn="0" w:noHBand="0" w:noVBand="1"/>
      </w:tblPr>
      <w:tblGrid>
        <w:gridCol w:w="845"/>
        <w:gridCol w:w="3645"/>
        <w:gridCol w:w="3018"/>
        <w:gridCol w:w="1276"/>
        <w:gridCol w:w="1417"/>
        <w:gridCol w:w="4820"/>
      </w:tblGrid>
      <w:tr w:rsidR="00A3257F" w:rsidRPr="00475DB6" w14:paraId="05EA3AFC" w14:textId="77777777" w:rsidTr="4181B624">
        <w:tc>
          <w:tcPr>
            <w:tcW w:w="845" w:type="dxa"/>
            <w:shd w:val="clear" w:color="auto" w:fill="7030A0"/>
          </w:tcPr>
          <w:p w14:paraId="3BEFA71C" w14:textId="77777777" w:rsidR="00A3257F" w:rsidRPr="00475DB6" w:rsidRDefault="00A3257F">
            <w:pPr>
              <w:rPr>
                <w:rFonts w:ascii="Verdana" w:hAnsi="Verdana"/>
                <w:color w:val="FFFFFF" w:themeColor="background1"/>
                <w:sz w:val="18"/>
                <w:szCs w:val="18"/>
              </w:rPr>
            </w:pPr>
            <w:r w:rsidRPr="00475DB6">
              <w:rPr>
                <w:rFonts w:ascii="Verdana" w:hAnsi="Verdana"/>
                <w:color w:val="FFFFFF" w:themeColor="background1"/>
                <w:sz w:val="18"/>
                <w:szCs w:val="18"/>
              </w:rPr>
              <w:t>Nr.</w:t>
            </w:r>
          </w:p>
        </w:tc>
        <w:tc>
          <w:tcPr>
            <w:tcW w:w="3645" w:type="dxa"/>
            <w:shd w:val="clear" w:color="auto" w:fill="7030A0"/>
          </w:tcPr>
          <w:p w14:paraId="73EAC16C" w14:textId="77777777" w:rsidR="00A3257F" w:rsidRPr="00475DB6" w:rsidRDefault="00A3257F">
            <w:pPr>
              <w:rPr>
                <w:rFonts w:ascii="Verdana" w:hAnsi="Verdana"/>
                <w:color w:val="FFFFFF" w:themeColor="background1"/>
                <w:sz w:val="18"/>
                <w:szCs w:val="18"/>
              </w:rPr>
            </w:pPr>
            <w:r w:rsidRPr="00475DB6">
              <w:rPr>
                <w:rFonts w:ascii="Verdana" w:hAnsi="Verdana"/>
                <w:color w:val="FFFFFF" w:themeColor="background1"/>
                <w:sz w:val="18"/>
                <w:szCs w:val="18"/>
              </w:rPr>
              <w:t>Omschrijving Maatregel</w:t>
            </w:r>
          </w:p>
        </w:tc>
        <w:tc>
          <w:tcPr>
            <w:tcW w:w="3018" w:type="dxa"/>
            <w:shd w:val="clear" w:color="auto" w:fill="7030A0"/>
          </w:tcPr>
          <w:p w14:paraId="100B4DCA" w14:textId="77777777" w:rsidR="00A3257F" w:rsidRPr="00475DB6" w:rsidRDefault="00A3257F">
            <w:pPr>
              <w:rPr>
                <w:rFonts w:ascii="Verdana" w:hAnsi="Verdana"/>
                <w:color w:val="FFFFFF" w:themeColor="background1"/>
                <w:sz w:val="18"/>
                <w:szCs w:val="18"/>
              </w:rPr>
            </w:pPr>
            <w:r w:rsidRPr="00475DB6">
              <w:rPr>
                <w:rFonts w:ascii="Verdana" w:hAnsi="Verdana"/>
                <w:color w:val="FFFFFF" w:themeColor="background1"/>
                <w:sz w:val="18"/>
                <w:szCs w:val="18"/>
              </w:rPr>
              <w:t>Maatschappelijke impact</w:t>
            </w:r>
          </w:p>
        </w:tc>
        <w:tc>
          <w:tcPr>
            <w:tcW w:w="1276" w:type="dxa"/>
            <w:shd w:val="clear" w:color="auto" w:fill="7030A0"/>
          </w:tcPr>
          <w:p w14:paraId="1CB3F41C" w14:textId="77777777" w:rsidR="00A3257F" w:rsidRPr="00475DB6" w:rsidRDefault="00A3257F">
            <w:pPr>
              <w:jc w:val="center"/>
              <w:rPr>
                <w:rFonts w:ascii="Verdana" w:hAnsi="Verdana"/>
                <w:color w:val="FFFFFF" w:themeColor="background1"/>
                <w:sz w:val="18"/>
                <w:szCs w:val="18"/>
              </w:rPr>
            </w:pPr>
            <w:r w:rsidRPr="00475DB6">
              <w:rPr>
                <w:rFonts w:ascii="Verdana" w:hAnsi="Verdana"/>
                <w:color w:val="FFFFFF" w:themeColor="background1"/>
                <w:sz w:val="18"/>
                <w:szCs w:val="18"/>
              </w:rPr>
              <w:t>Bedrag aandeel gemeenten (€)</w:t>
            </w:r>
          </w:p>
        </w:tc>
        <w:tc>
          <w:tcPr>
            <w:tcW w:w="1417" w:type="dxa"/>
            <w:shd w:val="clear" w:color="auto" w:fill="7030A0"/>
          </w:tcPr>
          <w:p w14:paraId="3EA892B7" w14:textId="77777777" w:rsidR="00A3257F" w:rsidRPr="00475DB6" w:rsidRDefault="00A3257F">
            <w:pPr>
              <w:rPr>
                <w:rFonts w:ascii="Verdana" w:hAnsi="Verdana"/>
                <w:color w:val="FFFFFF" w:themeColor="background1"/>
                <w:sz w:val="18"/>
                <w:szCs w:val="18"/>
              </w:rPr>
            </w:pPr>
            <w:r w:rsidRPr="00475DB6">
              <w:rPr>
                <w:rFonts w:ascii="Verdana" w:hAnsi="Verdana"/>
                <w:color w:val="FFFFFF" w:themeColor="background1"/>
                <w:sz w:val="18"/>
                <w:szCs w:val="18"/>
              </w:rPr>
              <w:t>Verplichting gemeente o.b.v. wetgeving</w:t>
            </w:r>
          </w:p>
        </w:tc>
        <w:tc>
          <w:tcPr>
            <w:tcW w:w="4820" w:type="dxa"/>
            <w:shd w:val="clear" w:color="auto" w:fill="7030A0"/>
          </w:tcPr>
          <w:p w14:paraId="64114754" w14:textId="77777777" w:rsidR="00A3257F" w:rsidRPr="00475DB6" w:rsidRDefault="00A3257F">
            <w:pPr>
              <w:rPr>
                <w:rFonts w:ascii="Verdana" w:hAnsi="Verdana"/>
                <w:color w:val="FFFFFF" w:themeColor="background1"/>
                <w:sz w:val="18"/>
                <w:szCs w:val="18"/>
              </w:rPr>
            </w:pPr>
            <w:r w:rsidRPr="00475DB6">
              <w:rPr>
                <w:rFonts w:ascii="Verdana" w:hAnsi="Verdana"/>
                <w:color w:val="FFFFFF" w:themeColor="background1"/>
                <w:sz w:val="18"/>
                <w:szCs w:val="18"/>
              </w:rPr>
              <w:t>Werkt dit kostenverhogend voor gemeente/andere organisaties en wat is het risico voor gemeenten</w:t>
            </w:r>
          </w:p>
        </w:tc>
      </w:tr>
      <w:tr w:rsidR="00A3257F" w:rsidRPr="00475DB6" w14:paraId="2B49AFCC" w14:textId="77777777" w:rsidTr="4181B624">
        <w:tc>
          <w:tcPr>
            <w:tcW w:w="845" w:type="dxa"/>
            <w:shd w:val="clear" w:color="auto" w:fill="00B0F0"/>
          </w:tcPr>
          <w:p w14:paraId="05E58462" w14:textId="77777777" w:rsidR="00A3257F" w:rsidRPr="00475DB6" w:rsidRDefault="00A3257F">
            <w:pPr>
              <w:rPr>
                <w:rFonts w:ascii="Verdana" w:hAnsi="Verdana"/>
                <w:sz w:val="18"/>
                <w:szCs w:val="18"/>
              </w:rPr>
            </w:pPr>
            <w:r w:rsidRPr="00475DB6">
              <w:rPr>
                <w:rFonts w:ascii="Verdana" w:hAnsi="Verdana"/>
                <w:sz w:val="18"/>
                <w:szCs w:val="18"/>
              </w:rPr>
              <w:t>1</w:t>
            </w:r>
          </w:p>
        </w:tc>
        <w:tc>
          <w:tcPr>
            <w:tcW w:w="3645" w:type="dxa"/>
            <w:shd w:val="clear" w:color="auto" w:fill="00B0F0"/>
          </w:tcPr>
          <w:p w14:paraId="511444DE" w14:textId="77777777" w:rsidR="00A3257F" w:rsidRPr="00475DB6" w:rsidRDefault="00A3257F">
            <w:pPr>
              <w:rPr>
                <w:rFonts w:ascii="Verdana" w:hAnsi="Verdana"/>
                <w:sz w:val="18"/>
                <w:szCs w:val="18"/>
              </w:rPr>
            </w:pPr>
            <w:r w:rsidRPr="00475DB6">
              <w:rPr>
                <w:rFonts w:ascii="Verdana" w:hAnsi="Verdana"/>
                <w:sz w:val="18"/>
                <w:szCs w:val="18"/>
              </w:rPr>
              <w:t>Verminderen personele en bestuurlijke voorzieningen voor vergaderingen en representatie</w:t>
            </w:r>
          </w:p>
        </w:tc>
        <w:tc>
          <w:tcPr>
            <w:tcW w:w="3018" w:type="dxa"/>
          </w:tcPr>
          <w:p w14:paraId="11A2EB5E" w14:textId="77777777" w:rsidR="00A3257F" w:rsidRPr="00475DB6" w:rsidRDefault="00A3257F">
            <w:pPr>
              <w:rPr>
                <w:rFonts w:ascii="Verdana" w:hAnsi="Verdana"/>
                <w:sz w:val="18"/>
                <w:szCs w:val="18"/>
              </w:rPr>
            </w:pPr>
            <w:r w:rsidRPr="00475DB6">
              <w:rPr>
                <w:rFonts w:ascii="Verdana" w:hAnsi="Verdana"/>
                <w:sz w:val="18"/>
                <w:szCs w:val="18"/>
              </w:rPr>
              <w:t>Bijeenkomsten en overleggen worden mogelijk minder efficiënt en effectief. Kans op afname van aantrekkelijk werkgeverschap OD NHN.</w:t>
            </w:r>
          </w:p>
          <w:p w14:paraId="322C2C26" w14:textId="77777777" w:rsidR="00A3257F" w:rsidRPr="00475DB6" w:rsidRDefault="00A3257F">
            <w:pPr>
              <w:rPr>
                <w:rFonts w:ascii="Verdana" w:hAnsi="Verdana"/>
                <w:sz w:val="18"/>
                <w:szCs w:val="18"/>
              </w:rPr>
            </w:pPr>
          </w:p>
          <w:p w14:paraId="63A66DB7" w14:textId="77777777" w:rsidR="00A3257F" w:rsidRPr="00475DB6" w:rsidRDefault="00A3257F">
            <w:pPr>
              <w:rPr>
                <w:rFonts w:ascii="Verdana" w:hAnsi="Verdana"/>
                <w:sz w:val="18"/>
                <w:szCs w:val="18"/>
              </w:rPr>
            </w:pPr>
          </w:p>
          <w:p w14:paraId="02CC035D" w14:textId="77777777" w:rsidR="00A3257F" w:rsidRPr="00475DB6" w:rsidRDefault="00A3257F">
            <w:pPr>
              <w:pStyle w:val="Lijstalinea"/>
              <w:numPr>
                <w:ilvl w:val="0"/>
                <w:numId w:val="5"/>
              </w:numPr>
              <w:rPr>
                <w:rFonts w:ascii="Verdana" w:hAnsi="Verdana"/>
                <w:sz w:val="18"/>
                <w:szCs w:val="18"/>
              </w:rPr>
            </w:pPr>
          </w:p>
          <w:p w14:paraId="67A9C041" w14:textId="77777777" w:rsidR="00A3257F" w:rsidRPr="00475DB6" w:rsidRDefault="00A3257F">
            <w:pPr>
              <w:pStyle w:val="Lijstalinea"/>
              <w:numPr>
                <w:ilvl w:val="0"/>
                <w:numId w:val="5"/>
              </w:numPr>
              <w:rPr>
                <w:rFonts w:ascii="Verdana" w:hAnsi="Verdana"/>
                <w:sz w:val="18"/>
                <w:szCs w:val="18"/>
              </w:rPr>
            </w:pPr>
          </w:p>
        </w:tc>
        <w:tc>
          <w:tcPr>
            <w:tcW w:w="1276" w:type="dxa"/>
          </w:tcPr>
          <w:p w14:paraId="764163AA" w14:textId="77777777" w:rsidR="00A3257F" w:rsidRPr="00475DB6" w:rsidRDefault="00A3257F">
            <w:pPr>
              <w:rPr>
                <w:rFonts w:ascii="Verdana" w:hAnsi="Verdana"/>
                <w:sz w:val="18"/>
                <w:szCs w:val="18"/>
              </w:rPr>
            </w:pPr>
            <w:r w:rsidRPr="00475DB6">
              <w:rPr>
                <w:rFonts w:ascii="Verdana" w:hAnsi="Verdana"/>
                <w:sz w:val="18"/>
                <w:szCs w:val="18"/>
              </w:rPr>
              <w:t>12.000</w:t>
            </w:r>
          </w:p>
          <w:p w14:paraId="459970BC" w14:textId="77777777" w:rsidR="00A3257F" w:rsidRPr="00475DB6" w:rsidRDefault="00A3257F">
            <w:pPr>
              <w:rPr>
                <w:rFonts w:ascii="Verdana" w:hAnsi="Verdana"/>
                <w:sz w:val="18"/>
                <w:szCs w:val="18"/>
              </w:rPr>
            </w:pPr>
          </w:p>
        </w:tc>
        <w:tc>
          <w:tcPr>
            <w:tcW w:w="1417" w:type="dxa"/>
          </w:tcPr>
          <w:p w14:paraId="2A86BF6E" w14:textId="77777777" w:rsidR="00A3257F" w:rsidRPr="00475DB6" w:rsidRDefault="00A3257F">
            <w:pPr>
              <w:rPr>
                <w:rFonts w:ascii="Verdana" w:hAnsi="Verdana"/>
                <w:sz w:val="18"/>
                <w:szCs w:val="18"/>
              </w:rPr>
            </w:pPr>
            <w:r w:rsidRPr="00475DB6">
              <w:rPr>
                <w:rFonts w:ascii="Verdana" w:hAnsi="Verdana"/>
                <w:sz w:val="18"/>
                <w:szCs w:val="18"/>
              </w:rPr>
              <w:t>N.V.T.</w:t>
            </w:r>
          </w:p>
        </w:tc>
        <w:tc>
          <w:tcPr>
            <w:tcW w:w="4820" w:type="dxa"/>
          </w:tcPr>
          <w:p w14:paraId="0E6A9E5B" w14:textId="5545D998" w:rsidR="00A3257F" w:rsidRPr="00475DB6" w:rsidRDefault="00A3257F">
            <w:pPr>
              <w:rPr>
                <w:rFonts w:ascii="Verdana" w:hAnsi="Verdana"/>
                <w:sz w:val="18"/>
                <w:szCs w:val="18"/>
              </w:rPr>
            </w:pPr>
            <w:r w:rsidRPr="00475DB6">
              <w:rPr>
                <w:rFonts w:ascii="Verdana" w:hAnsi="Verdana"/>
                <w:sz w:val="18"/>
                <w:szCs w:val="18"/>
              </w:rPr>
              <w:t xml:space="preserve">Bezuiniging op voorzieningen zoals het afschalen van overleggen op externe vergaderlocaties voor AB/DB/MT/TMT, afdelingen en/of met andere externe (samenwerkings)partijen. Versoberen en beperken van catering en verblijfskosten voor overleggen. Als een vergadering qua huisvesting met de deelnemers niet binnen OD NHN kan plaatsvinden kan mogelijk een beroep op de beschikbare vergaderlocaties van de deelnemers (gemeenten) worden gedaan om de bijeenkomst te faciliteren. </w:t>
            </w:r>
          </w:p>
        </w:tc>
      </w:tr>
      <w:tr w:rsidR="00A3257F" w:rsidRPr="00475DB6" w14:paraId="537134D3" w14:textId="77777777" w:rsidTr="4181B624">
        <w:tc>
          <w:tcPr>
            <w:tcW w:w="845" w:type="dxa"/>
            <w:shd w:val="clear" w:color="auto" w:fill="00B0F0"/>
          </w:tcPr>
          <w:p w14:paraId="44E9FB6D" w14:textId="77777777" w:rsidR="00A3257F" w:rsidRPr="00475DB6" w:rsidRDefault="00A3257F">
            <w:pPr>
              <w:rPr>
                <w:rFonts w:ascii="Verdana" w:hAnsi="Verdana"/>
                <w:sz w:val="18"/>
                <w:szCs w:val="18"/>
              </w:rPr>
            </w:pPr>
            <w:r w:rsidRPr="00475DB6">
              <w:rPr>
                <w:rFonts w:ascii="Verdana" w:hAnsi="Verdana"/>
                <w:sz w:val="18"/>
                <w:szCs w:val="18"/>
              </w:rPr>
              <w:t>2</w:t>
            </w:r>
          </w:p>
        </w:tc>
        <w:tc>
          <w:tcPr>
            <w:tcW w:w="3645" w:type="dxa"/>
            <w:shd w:val="clear" w:color="auto" w:fill="00B0F0"/>
          </w:tcPr>
          <w:p w14:paraId="5F5F6807" w14:textId="77777777" w:rsidR="00A3257F" w:rsidRPr="00475DB6" w:rsidRDefault="00A3257F">
            <w:pPr>
              <w:rPr>
                <w:rFonts w:ascii="Verdana" w:hAnsi="Verdana"/>
                <w:sz w:val="18"/>
                <w:szCs w:val="18"/>
              </w:rPr>
            </w:pPr>
            <w:r w:rsidRPr="00475DB6">
              <w:rPr>
                <w:rFonts w:ascii="Verdana" w:hAnsi="Verdana"/>
                <w:sz w:val="18"/>
                <w:szCs w:val="18"/>
              </w:rPr>
              <w:t>Wijzigingen rondom inzet huisvesting en bijbehorende facilitaire kosten</w:t>
            </w:r>
          </w:p>
          <w:p w14:paraId="6A26AFCE" w14:textId="77777777" w:rsidR="00A3257F" w:rsidRPr="00475DB6" w:rsidRDefault="00A3257F">
            <w:pPr>
              <w:rPr>
                <w:rFonts w:ascii="Verdana" w:hAnsi="Verdana"/>
                <w:sz w:val="18"/>
                <w:szCs w:val="18"/>
              </w:rPr>
            </w:pPr>
          </w:p>
        </w:tc>
        <w:tc>
          <w:tcPr>
            <w:tcW w:w="3018" w:type="dxa"/>
          </w:tcPr>
          <w:p w14:paraId="693354D0" w14:textId="77777777" w:rsidR="00A3257F" w:rsidRPr="00475DB6" w:rsidRDefault="00A3257F">
            <w:pPr>
              <w:rPr>
                <w:rFonts w:ascii="Verdana" w:hAnsi="Verdana"/>
                <w:sz w:val="18"/>
                <w:szCs w:val="18"/>
              </w:rPr>
            </w:pPr>
            <w:r w:rsidRPr="00475DB6">
              <w:rPr>
                <w:rFonts w:ascii="Verdana" w:hAnsi="Verdana"/>
                <w:sz w:val="18"/>
                <w:szCs w:val="18"/>
              </w:rPr>
              <w:t>Versobering van de dienstverlening en mogelijke afname van aantrekkelijke werkgeverschap OD NHN door verminderde bereikbaarheid, openstelling en/of werkplekken van het kantoor</w:t>
            </w:r>
          </w:p>
        </w:tc>
        <w:tc>
          <w:tcPr>
            <w:tcW w:w="1276" w:type="dxa"/>
          </w:tcPr>
          <w:p w14:paraId="7149ADBD" w14:textId="77777777" w:rsidR="00A3257F" w:rsidRPr="00475DB6" w:rsidRDefault="00A3257F">
            <w:pPr>
              <w:rPr>
                <w:rFonts w:ascii="Verdana" w:hAnsi="Verdana"/>
                <w:sz w:val="18"/>
                <w:szCs w:val="18"/>
              </w:rPr>
            </w:pPr>
            <w:r w:rsidRPr="00475DB6">
              <w:rPr>
                <w:rFonts w:ascii="Verdana" w:hAnsi="Verdana"/>
                <w:sz w:val="18"/>
                <w:szCs w:val="18"/>
              </w:rPr>
              <w:t>12.000</w:t>
            </w:r>
          </w:p>
        </w:tc>
        <w:tc>
          <w:tcPr>
            <w:tcW w:w="1417" w:type="dxa"/>
          </w:tcPr>
          <w:p w14:paraId="329B275E" w14:textId="77777777" w:rsidR="00A3257F" w:rsidRPr="00475DB6" w:rsidRDefault="00A3257F">
            <w:pPr>
              <w:rPr>
                <w:rFonts w:ascii="Verdana" w:hAnsi="Verdana"/>
                <w:sz w:val="18"/>
                <w:szCs w:val="18"/>
              </w:rPr>
            </w:pPr>
            <w:r w:rsidRPr="00475DB6">
              <w:rPr>
                <w:rFonts w:ascii="Verdana" w:hAnsi="Verdana"/>
                <w:sz w:val="18"/>
                <w:szCs w:val="18"/>
              </w:rPr>
              <w:t>N.V.T.</w:t>
            </w:r>
          </w:p>
        </w:tc>
        <w:tc>
          <w:tcPr>
            <w:tcW w:w="4820" w:type="dxa"/>
          </w:tcPr>
          <w:p w14:paraId="054216CC" w14:textId="65C337A8" w:rsidR="00A3257F" w:rsidRPr="00475DB6" w:rsidRDefault="00A3257F">
            <w:pPr>
              <w:rPr>
                <w:rFonts w:ascii="Verdana" w:hAnsi="Verdana"/>
                <w:sz w:val="18"/>
                <w:szCs w:val="18"/>
              </w:rPr>
            </w:pPr>
            <w:r w:rsidRPr="4181B624">
              <w:rPr>
                <w:rFonts w:ascii="Verdana" w:hAnsi="Verdana"/>
                <w:sz w:val="18"/>
                <w:szCs w:val="18"/>
              </w:rPr>
              <w:t>Potentiële besparing bevat inschatting van verschillende (</w:t>
            </w:r>
            <w:proofErr w:type="spellStart"/>
            <w:r w:rsidRPr="4181B624">
              <w:rPr>
                <w:rFonts w:ascii="Verdana" w:hAnsi="Verdana"/>
                <w:sz w:val="18"/>
                <w:szCs w:val="18"/>
              </w:rPr>
              <w:t>huisvesting</w:t>
            </w:r>
            <w:r w:rsidR="05983A99" w:rsidRPr="4181B624">
              <w:rPr>
                <w:rFonts w:ascii="Verdana" w:hAnsi="Verdana"/>
                <w:sz w:val="18"/>
                <w:szCs w:val="18"/>
              </w:rPr>
              <w:t>s</w:t>
            </w:r>
            <w:proofErr w:type="spellEnd"/>
            <w:r w:rsidRPr="4181B624">
              <w:rPr>
                <w:rFonts w:ascii="Verdana" w:hAnsi="Verdana"/>
                <w:sz w:val="18"/>
                <w:szCs w:val="18"/>
              </w:rPr>
              <w:t>)scenario’s</w:t>
            </w:r>
            <w:r w:rsidR="084E64FA" w:rsidRPr="4181B624">
              <w:rPr>
                <w:rFonts w:ascii="Verdana" w:hAnsi="Verdana"/>
                <w:sz w:val="18"/>
                <w:szCs w:val="18"/>
              </w:rPr>
              <w:t xml:space="preserve">. Werkelijke besparing is </w:t>
            </w:r>
            <w:r w:rsidRPr="4181B624">
              <w:rPr>
                <w:rFonts w:ascii="Verdana" w:hAnsi="Verdana"/>
                <w:sz w:val="18"/>
                <w:szCs w:val="18"/>
              </w:rPr>
              <w:t>afhankelijk van nadere uitwerkingen.</w:t>
            </w:r>
          </w:p>
        </w:tc>
      </w:tr>
      <w:tr w:rsidR="00A3257F" w:rsidRPr="00475DB6" w14:paraId="37524110" w14:textId="77777777" w:rsidTr="4181B624">
        <w:tc>
          <w:tcPr>
            <w:tcW w:w="845" w:type="dxa"/>
            <w:shd w:val="clear" w:color="auto" w:fill="00B0F0"/>
          </w:tcPr>
          <w:p w14:paraId="39045CA4" w14:textId="77777777" w:rsidR="00A3257F" w:rsidRPr="00475DB6" w:rsidRDefault="00A3257F">
            <w:pPr>
              <w:rPr>
                <w:rFonts w:ascii="Verdana" w:hAnsi="Verdana"/>
                <w:sz w:val="18"/>
                <w:szCs w:val="18"/>
              </w:rPr>
            </w:pPr>
            <w:r w:rsidRPr="00475DB6">
              <w:rPr>
                <w:rFonts w:ascii="Verdana" w:hAnsi="Verdana"/>
                <w:sz w:val="18"/>
                <w:szCs w:val="18"/>
              </w:rPr>
              <w:t>3</w:t>
            </w:r>
          </w:p>
        </w:tc>
        <w:tc>
          <w:tcPr>
            <w:tcW w:w="3645" w:type="dxa"/>
            <w:shd w:val="clear" w:color="auto" w:fill="00B0F0"/>
          </w:tcPr>
          <w:p w14:paraId="7762DF2F" w14:textId="77777777" w:rsidR="00A3257F" w:rsidRPr="00475DB6" w:rsidRDefault="00A3257F">
            <w:pPr>
              <w:rPr>
                <w:rFonts w:ascii="Verdana" w:hAnsi="Verdana"/>
                <w:sz w:val="18"/>
                <w:szCs w:val="18"/>
              </w:rPr>
            </w:pPr>
            <w:r w:rsidRPr="00475DB6">
              <w:rPr>
                <w:rFonts w:ascii="Verdana" w:hAnsi="Verdana"/>
                <w:sz w:val="18"/>
                <w:szCs w:val="18"/>
              </w:rPr>
              <w:t>Meerjarige UP afspraken en huidige T-rapportage en verantwoording versoberen</w:t>
            </w:r>
          </w:p>
        </w:tc>
        <w:tc>
          <w:tcPr>
            <w:tcW w:w="3018" w:type="dxa"/>
          </w:tcPr>
          <w:p w14:paraId="27190596" w14:textId="77777777" w:rsidR="00A3257F" w:rsidRPr="00475DB6" w:rsidRDefault="00A3257F">
            <w:pPr>
              <w:rPr>
                <w:rFonts w:ascii="Verdana" w:hAnsi="Verdana"/>
                <w:sz w:val="18"/>
                <w:szCs w:val="18"/>
              </w:rPr>
            </w:pPr>
            <w:r w:rsidRPr="00475DB6">
              <w:rPr>
                <w:rFonts w:ascii="Verdana" w:hAnsi="Verdana"/>
                <w:sz w:val="18"/>
                <w:szCs w:val="18"/>
              </w:rPr>
              <w:t>Gemeenten zullen zich meerjarig financieel moeten committeren aan gemaakte afspraken</w:t>
            </w:r>
          </w:p>
        </w:tc>
        <w:tc>
          <w:tcPr>
            <w:tcW w:w="1276" w:type="dxa"/>
          </w:tcPr>
          <w:p w14:paraId="05F81A8C" w14:textId="77777777" w:rsidR="00A3257F" w:rsidRPr="00475DB6" w:rsidRDefault="00A3257F">
            <w:pPr>
              <w:rPr>
                <w:rFonts w:ascii="Verdana" w:hAnsi="Verdana"/>
                <w:sz w:val="18"/>
                <w:szCs w:val="18"/>
              </w:rPr>
            </w:pPr>
            <w:r w:rsidRPr="00475DB6">
              <w:rPr>
                <w:rFonts w:ascii="Verdana" w:hAnsi="Verdana"/>
                <w:sz w:val="18"/>
                <w:szCs w:val="18"/>
              </w:rPr>
              <w:t>118.000</w:t>
            </w:r>
          </w:p>
        </w:tc>
        <w:tc>
          <w:tcPr>
            <w:tcW w:w="1417" w:type="dxa"/>
          </w:tcPr>
          <w:p w14:paraId="1A1F122D" w14:textId="77777777" w:rsidR="00A3257F" w:rsidRPr="00475DB6" w:rsidRDefault="00A3257F">
            <w:pPr>
              <w:rPr>
                <w:rFonts w:ascii="Verdana" w:hAnsi="Verdana"/>
                <w:sz w:val="18"/>
                <w:szCs w:val="18"/>
              </w:rPr>
            </w:pPr>
            <w:r w:rsidRPr="00475DB6">
              <w:rPr>
                <w:rFonts w:ascii="Verdana" w:hAnsi="Verdana"/>
                <w:sz w:val="18"/>
                <w:szCs w:val="18"/>
              </w:rPr>
              <w:t>N.V.T.</w:t>
            </w:r>
          </w:p>
        </w:tc>
        <w:tc>
          <w:tcPr>
            <w:tcW w:w="4820" w:type="dxa"/>
          </w:tcPr>
          <w:p w14:paraId="57012D0A" w14:textId="77777777" w:rsidR="00A3257F" w:rsidRDefault="00A3257F">
            <w:pPr>
              <w:rPr>
                <w:rFonts w:ascii="Verdana" w:hAnsi="Verdana"/>
                <w:sz w:val="18"/>
                <w:szCs w:val="18"/>
              </w:rPr>
            </w:pPr>
            <w:r w:rsidRPr="00475DB6">
              <w:rPr>
                <w:rFonts w:ascii="Verdana" w:hAnsi="Verdana"/>
                <w:sz w:val="18"/>
                <w:szCs w:val="18"/>
              </w:rPr>
              <w:t>Gemeenten zullen zich meerjarig financieel moeten committeren aan het uitvoeringsprogramma van OD NHN. Meerjarige budgetten moeten beschikbaar zijn. Kans op extra inzet en kosten voor gemeenten bij eventuele beleidswijzigingen en/of aanvullende taken gedurende de periode. Versoberde rapportages kan leiden tot meerwerk bij gemeenten bij eventuele vraagstukken en interne verantwoording. Potentiële besparing bevat schatting en is afhankelijk van nadere uitwerkingen.</w:t>
            </w:r>
          </w:p>
          <w:p w14:paraId="35090D5C" w14:textId="7D73EF3C" w:rsidR="009F55A5" w:rsidRPr="00475DB6" w:rsidRDefault="009F55A5">
            <w:pPr>
              <w:rPr>
                <w:rFonts w:ascii="Verdana" w:hAnsi="Verdana"/>
                <w:sz w:val="18"/>
                <w:szCs w:val="18"/>
              </w:rPr>
            </w:pPr>
          </w:p>
        </w:tc>
      </w:tr>
      <w:tr w:rsidR="00A3257F" w:rsidRPr="00475DB6" w14:paraId="3B7318B0" w14:textId="77777777" w:rsidTr="4181B624">
        <w:trPr>
          <w:trHeight w:val="1833"/>
        </w:trPr>
        <w:tc>
          <w:tcPr>
            <w:tcW w:w="845" w:type="dxa"/>
            <w:shd w:val="clear" w:color="auto" w:fill="3A7C22" w:themeFill="accent6" w:themeFillShade="BF"/>
          </w:tcPr>
          <w:p w14:paraId="6996D6F4" w14:textId="77777777" w:rsidR="00A3257F" w:rsidRPr="00475DB6" w:rsidRDefault="00A3257F">
            <w:pPr>
              <w:rPr>
                <w:rFonts w:ascii="Verdana" w:hAnsi="Verdana"/>
                <w:sz w:val="18"/>
                <w:szCs w:val="18"/>
              </w:rPr>
            </w:pPr>
            <w:r w:rsidRPr="00475DB6">
              <w:rPr>
                <w:rFonts w:ascii="Verdana" w:hAnsi="Verdana"/>
                <w:sz w:val="18"/>
                <w:szCs w:val="18"/>
              </w:rPr>
              <w:t>4</w:t>
            </w:r>
          </w:p>
        </w:tc>
        <w:tc>
          <w:tcPr>
            <w:tcW w:w="3645" w:type="dxa"/>
            <w:shd w:val="clear" w:color="auto" w:fill="3A7C22" w:themeFill="accent6" w:themeFillShade="BF"/>
          </w:tcPr>
          <w:p w14:paraId="5AC14E2B" w14:textId="77777777" w:rsidR="00A3257F" w:rsidRPr="00475DB6" w:rsidRDefault="00A3257F">
            <w:pPr>
              <w:rPr>
                <w:rFonts w:ascii="Verdana" w:hAnsi="Verdana"/>
                <w:sz w:val="18"/>
                <w:szCs w:val="18"/>
              </w:rPr>
            </w:pPr>
            <w:r w:rsidRPr="00475DB6">
              <w:rPr>
                <w:rFonts w:ascii="Verdana" w:hAnsi="Verdana"/>
                <w:sz w:val="18"/>
                <w:szCs w:val="18"/>
              </w:rPr>
              <w:t>Verminderen omvang stelpost onvoorziene kosten vanaf 2026</w:t>
            </w:r>
          </w:p>
        </w:tc>
        <w:tc>
          <w:tcPr>
            <w:tcW w:w="3018" w:type="dxa"/>
          </w:tcPr>
          <w:p w14:paraId="44E0A74E" w14:textId="77777777" w:rsidR="00A3257F" w:rsidRPr="00475DB6" w:rsidRDefault="00A3257F">
            <w:pPr>
              <w:rPr>
                <w:rFonts w:ascii="Verdana" w:hAnsi="Verdana"/>
                <w:sz w:val="18"/>
                <w:szCs w:val="18"/>
              </w:rPr>
            </w:pPr>
            <w:r w:rsidRPr="00475DB6">
              <w:rPr>
                <w:rFonts w:ascii="Verdana" w:hAnsi="Verdana"/>
                <w:sz w:val="18"/>
                <w:szCs w:val="18"/>
              </w:rPr>
              <w:t>Wettelijke verplichting om stelpost onvoorziene kosten op te nemen</w:t>
            </w:r>
          </w:p>
        </w:tc>
        <w:tc>
          <w:tcPr>
            <w:tcW w:w="1276" w:type="dxa"/>
            <w:shd w:val="clear" w:color="auto" w:fill="auto"/>
          </w:tcPr>
          <w:p w14:paraId="797F3373" w14:textId="77777777" w:rsidR="00A3257F" w:rsidRPr="00475DB6" w:rsidRDefault="00A3257F">
            <w:pPr>
              <w:rPr>
                <w:rFonts w:ascii="Verdana" w:hAnsi="Verdana"/>
                <w:sz w:val="18"/>
                <w:szCs w:val="18"/>
              </w:rPr>
            </w:pPr>
            <w:r w:rsidRPr="00475DB6">
              <w:rPr>
                <w:rFonts w:ascii="Verdana" w:hAnsi="Verdana"/>
                <w:sz w:val="18"/>
                <w:szCs w:val="18"/>
              </w:rPr>
              <w:t>66.000</w:t>
            </w:r>
          </w:p>
        </w:tc>
        <w:tc>
          <w:tcPr>
            <w:tcW w:w="1417" w:type="dxa"/>
          </w:tcPr>
          <w:p w14:paraId="1FE5B3FF" w14:textId="77777777" w:rsidR="00A3257F" w:rsidRPr="00475DB6" w:rsidRDefault="00A3257F">
            <w:pPr>
              <w:rPr>
                <w:rFonts w:ascii="Verdana" w:hAnsi="Verdana"/>
                <w:sz w:val="18"/>
                <w:szCs w:val="18"/>
              </w:rPr>
            </w:pPr>
            <w:r w:rsidRPr="00475DB6">
              <w:rPr>
                <w:rFonts w:ascii="Verdana" w:hAnsi="Verdana"/>
                <w:sz w:val="18"/>
                <w:szCs w:val="18"/>
              </w:rPr>
              <w:t>Verplichting om in begroting een stelpost onvoorzien op te nemen</w:t>
            </w:r>
          </w:p>
        </w:tc>
        <w:tc>
          <w:tcPr>
            <w:tcW w:w="4820" w:type="dxa"/>
          </w:tcPr>
          <w:p w14:paraId="4A3702CC" w14:textId="3CFACC9F" w:rsidR="00A3257F" w:rsidRPr="00475DB6" w:rsidRDefault="00A3257F">
            <w:pPr>
              <w:rPr>
                <w:rFonts w:ascii="Verdana" w:hAnsi="Verdana"/>
                <w:sz w:val="18"/>
                <w:szCs w:val="18"/>
              </w:rPr>
            </w:pPr>
            <w:r w:rsidRPr="4181B624">
              <w:rPr>
                <w:rFonts w:ascii="Verdana" w:hAnsi="Verdana"/>
                <w:sz w:val="18"/>
                <w:szCs w:val="18"/>
              </w:rPr>
              <w:t>Het is een verplichting om in de</w:t>
            </w:r>
            <w:r w:rsidR="1FCDAEF1" w:rsidRPr="4181B624">
              <w:rPr>
                <w:rFonts w:ascii="Verdana" w:hAnsi="Verdana"/>
                <w:sz w:val="18"/>
                <w:szCs w:val="18"/>
              </w:rPr>
              <w:t xml:space="preserve"> </w:t>
            </w:r>
            <w:r w:rsidRPr="4181B624">
              <w:rPr>
                <w:rFonts w:ascii="Verdana" w:hAnsi="Verdana"/>
                <w:sz w:val="18"/>
                <w:szCs w:val="18"/>
              </w:rPr>
              <w:t xml:space="preserve">vastgestelde begroting een stelpost onvoorzien op te nemen. De hoogte van het bedrag is echter zelfstandig te bepalen. Het voorstel van deze besparing voorziet in een verlaging tot maximaal € 1.000 van het op te nemen bedrag in de begroting. Risico is dat eventuele (hogere) onvoorziene kosten niet binnen de begroting gedragen kunnen worden en een direct beroep zal worden gedaan op de deelnemers (risicodrager). </w:t>
            </w:r>
          </w:p>
        </w:tc>
      </w:tr>
      <w:tr w:rsidR="00E66B3A" w:rsidRPr="00475DB6" w14:paraId="5DD16E03" w14:textId="77777777" w:rsidTr="4181B624">
        <w:tc>
          <w:tcPr>
            <w:tcW w:w="845" w:type="dxa"/>
            <w:shd w:val="clear" w:color="auto" w:fill="FFC000"/>
          </w:tcPr>
          <w:p w14:paraId="3225549A" w14:textId="77777777" w:rsidR="00E66B3A" w:rsidRPr="00475DB6" w:rsidRDefault="00E66B3A">
            <w:pPr>
              <w:rPr>
                <w:rFonts w:ascii="Verdana" w:hAnsi="Verdana"/>
                <w:sz w:val="18"/>
                <w:szCs w:val="18"/>
              </w:rPr>
            </w:pPr>
            <w:r w:rsidRPr="00475DB6">
              <w:rPr>
                <w:rFonts w:ascii="Verdana" w:hAnsi="Verdana"/>
                <w:sz w:val="18"/>
                <w:szCs w:val="18"/>
              </w:rPr>
              <w:t>5</w:t>
            </w:r>
          </w:p>
        </w:tc>
        <w:tc>
          <w:tcPr>
            <w:tcW w:w="3645" w:type="dxa"/>
            <w:shd w:val="clear" w:color="auto" w:fill="FFC000"/>
          </w:tcPr>
          <w:p w14:paraId="5D2B674B" w14:textId="77777777" w:rsidR="00E66B3A" w:rsidRPr="00475DB6" w:rsidRDefault="00E66B3A">
            <w:pPr>
              <w:rPr>
                <w:rFonts w:ascii="Verdana" w:hAnsi="Verdana"/>
                <w:sz w:val="18"/>
                <w:szCs w:val="18"/>
              </w:rPr>
            </w:pPr>
            <w:r w:rsidRPr="00475DB6">
              <w:rPr>
                <w:rFonts w:ascii="Verdana" w:hAnsi="Verdana"/>
                <w:sz w:val="18"/>
                <w:szCs w:val="18"/>
              </w:rPr>
              <w:t>Geen VTH APV controles evenementen meer</w:t>
            </w:r>
          </w:p>
        </w:tc>
        <w:tc>
          <w:tcPr>
            <w:tcW w:w="3018" w:type="dxa"/>
          </w:tcPr>
          <w:p w14:paraId="65268FCC" w14:textId="77777777" w:rsidR="00E66B3A" w:rsidRPr="00475DB6" w:rsidRDefault="00E66B3A">
            <w:pPr>
              <w:rPr>
                <w:rFonts w:ascii="Verdana" w:hAnsi="Verdana"/>
                <w:sz w:val="18"/>
                <w:szCs w:val="18"/>
                <w:highlight w:val="yellow"/>
              </w:rPr>
            </w:pPr>
            <w:r w:rsidRPr="00475DB6">
              <w:rPr>
                <w:rFonts w:ascii="Verdana" w:eastAsia="Times New Roman" w:hAnsi="Verdana" w:cs="Segoe UI"/>
                <w:kern w:val="0"/>
                <w:sz w:val="18"/>
                <w:szCs w:val="18"/>
                <w:lang w:eastAsia="nl-NL"/>
                <w14:ligatures w14:val="none"/>
              </w:rPr>
              <w:t>Toename van geluidsoverlast wat direct gevolgen zal hebben op de omgevingskwaliteit, het woongenot negatief zal beïnvloeden</w:t>
            </w:r>
          </w:p>
        </w:tc>
        <w:tc>
          <w:tcPr>
            <w:tcW w:w="1276" w:type="dxa"/>
          </w:tcPr>
          <w:p w14:paraId="13676000" w14:textId="77777777" w:rsidR="00E66B3A" w:rsidRPr="00475DB6" w:rsidRDefault="00E66B3A">
            <w:pPr>
              <w:rPr>
                <w:rFonts w:ascii="Verdana" w:hAnsi="Verdana"/>
                <w:sz w:val="18"/>
                <w:szCs w:val="18"/>
                <w:highlight w:val="yellow"/>
              </w:rPr>
            </w:pPr>
            <w:r w:rsidRPr="00475DB6">
              <w:rPr>
                <w:rFonts w:ascii="Verdana" w:hAnsi="Verdana"/>
                <w:sz w:val="18"/>
                <w:szCs w:val="18"/>
              </w:rPr>
              <w:t>145.000</w:t>
            </w:r>
          </w:p>
        </w:tc>
        <w:tc>
          <w:tcPr>
            <w:tcW w:w="1417" w:type="dxa"/>
          </w:tcPr>
          <w:p w14:paraId="7FDAA023" w14:textId="77777777" w:rsidR="00E66B3A" w:rsidRPr="00475DB6" w:rsidRDefault="00E66B3A">
            <w:pPr>
              <w:rPr>
                <w:rFonts w:ascii="Verdana" w:hAnsi="Verdana"/>
                <w:sz w:val="18"/>
                <w:szCs w:val="18"/>
              </w:rPr>
            </w:pPr>
            <w:r w:rsidRPr="00475DB6">
              <w:rPr>
                <w:rFonts w:ascii="Verdana" w:hAnsi="Verdana"/>
                <w:sz w:val="18"/>
                <w:szCs w:val="18"/>
              </w:rPr>
              <w:t>Geen wettelijke taak maar aanvullende opdrachten voor OD NHN</w:t>
            </w:r>
          </w:p>
        </w:tc>
        <w:tc>
          <w:tcPr>
            <w:tcW w:w="4820" w:type="dxa"/>
          </w:tcPr>
          <w:p w14:paraId="013E4B24" w14:textId="77777777" w:rsidR="00E66B3A" w:rsidRPr="00475DB6" w:rsidRDefault="00E66B3A">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Door het niet uitvoeren van de geluidmetingen bestaat de kans dat er meer meldingen geluidsoverlast en handhavingsverzoeken bij de gemeente worden ingediend. Ook kunnen meer bezwaar- en beroepszaken worden ingediend in het vergunningenproces. De eventuele controles, handhaving en afhandelen van meldingen overlast zullen door gemeenten zelf worden uitgevoerd en zullen leiden tot meerkosten.</w:t>
            </w:r>
          </w:p>
          <w:p w14:paraId="4DD55142" w14:textId="77777777" w:rsidR="00E66B3A" w:rsidRPr="00475DB6" w:rsidRDefault="00E66B3A">
            <w:pPr>
              <w:textAlignment w:val="baseline"/>
              <w:rPr>
                <w:rFonts w:ascii="Verdana" w:eastAsia="Times New Roman" w:hAnsi="Verdana" w:cs="Segoe UI"/>
                <w:kern w:val="0"/>
                <w:sz w:val="18"/>
                <w:szCs w:val="18"/>
                <w:lang w:eastAsia="nl-NL"/>
                <w14:ligatures w14:val="none"/>
              </w:rPr>
            </w:pPr>
          </w:p>
          <w:p w14:paraId="0B9B3F20" w14:textId="77777777" w:rsidR="00E66B3A" w:rsidRPr="00475DB6" w:rsidRDefault="00E66B3A">
            <w:pPr>
              <w:textAlignment w:val="baseline"/>
              <w:rPr>
                <w:rFonts w:ascii="Verdana" w:hAnsi="Verdana"/>
                <w:sz w:val="18"/>
                <w:szCs w:val="18"/>
                <w:highlight w:val="yellow"/>
              </w:rPr>
            </w:pPr>
            <w:r w:rsidRPr="00475DB6">
              <w:rPr>
                <w:rFonts w:ascii="Verdana" w:eastAsia="Times New Roman" w:hAnsi="Verdana" w:cs="Segoe UI"/>
                <w:kern w:val="0"/>
                <w:sz w:val="18"/>
                <w:szCs w:val="18"/>
                <w:lang w:eastAsia="nl-NL"/>
                <w14:ligatures w14:val="none"/>
              </w:rPr>
              <w:t xml:space="preserve">Deze taak wordt niet door elke gemeente en in de dezelfde omvang uitgevoerd. Diverse gemeenten hebben deze taak in de lumpsum opgenomen. </w:t>
            </w:r>
            <w:r w:rsidRPr="00475DB6">
              <w:rPr>
                <w:rFonts w:ascii="Verdana" w:hAnsi="Verdana"/>
                <w:sz w:val="18"/>
                <w:szCs w:val="18"/>
              </w:rPr>
              <w:t>Hierdoor zijn de uittredingsregels van toepassingen en zijn de besparingen niet direct te verzilveren. Daarnaast zal er een sociaal plan opgesteld moeten worden binnen OD NHN voor de betrokken medewerkers. De kosten van dit traject en eventuele transitievergoedingen voor getroffen medewerkers zal gedragen moeten worden door de gemeenten.</w:t>
            </w:r>
          </w:p>
        </w:tc>
      </w:tr>
      <w:tr w:rsidR="00E66B3A" w:rsidRPr="00475DB6" w14:paraId="45FD3D4B" w14:textId="77777777" w:rsidTr="4181B624">
        <w:tc>
          <w:tcPr>
            <w:tcW w:w="845" w:type="dxa"/>
            <w:shd w:val="clear" w:color="auto" w:fill="FFC000"/>
          </w:tcPr>
          <w:p w14:paraId="46765C8E" w14:textId="77777777" w:rsidR="00E66B3A" w:rsidRPr="00475DB6" w:rsidRDefault="00E66B3A">
            <w:pPr>
              <w:rPr>
                <w:rFonts w:ascii="Verdana" w:hAnsi="Verdana"/>
                <w:sz w:val="18"/>
                <w:szCs w:val="18"/>
              </w:rPr>
            </w:pPr>
            <w:r w:rsidRPr="00475DB6">
              <w:rPr>
                <w:rFonts w:ascii="Verdana" w:hAnsi="Verdana"/>
                <w:sz w:val="18"/>
                <w:szCs w:val="18"/>
              </w:rPr>
              <w:t>6</w:t>
            </w:r>
          </w:p>
        </w:tc>
        <w:tc>
          <w:tcPr>
            <w:tcW w:w="3645" w:type="dxa"/>
            <w:shd w:val="clear" w:color="auto" w:fill="FFC000"/>
          </w:tcPr>
          <w:p w14:paraId="45C989E7" w14:textId="77777777" w:rsidR="00E66B3A" w:rsidRPr="00475DB6" w:rsidRDefault="00E66B3A">
            <w:pPr>
              <w:rPr>
                <w:rFonts w:ascii="Verdana" w:hAnsi="Verdana"/>
                <w:sz w:val="18"/>
                <w:szCs w:val="18"/>
              </w:rPr>
            </w:pPr>
            <w:r w:rsidRPr="00475DB6">
              <w:rPr>
                <w:rFonts w:ascii="Verdana" w:hAnsi="Verdana"/>
                <w:sz w:val="18"/>
                <w:szCs w:val="18"/>
              </w:rPr>
              <w:t>Geen VTH APV klachten (geluidsoverlast) meer</w:t>
            </w:r>
          </w:p>
        </w:tc>
        <w:tc>
          <w:tcPr>
            <w:tcW w:w="3018" w:type="dxa"/>
          </w:tcPr>
          <w:p w14:paraId="5FBC4659" w14:textId="2FC65125" w:rsidR="00E66B3A" w:rsidRPr="00475DB6" w:rsidRDefault="7ADD3869" w:rsidP="4181B624">
            <w:pPr>
              <w:rPr>
                <w:rFonts w:ascii="Verdana" w:eastAsia="Times New Roman" w:hAnsi="Verdana" w:cs="Segoe UI"/>
                <w:sz w:val="18"/>
                <w:szCs w:val="18"/>
                <w:lang w:eastAsia="nl-NL"/>
              </w:rPr>
            </w:pPr>
            <w:r w:rsidRPr="00475DB6">
              <w:rPr>
                <w:rFonts w:ascii="Verdana" w:eastAsia="Times New Roman" w:hAnsi="Verdana" w:cs="Segoe UI"/>
                <w:kern w:val="0"/>
                <w:sz w:val="18"/>
                <w:szCs w:val="18"/>
                <w:lang w:eastAsia="nl-NL"/>
                <w14:ligatures w14:val="none"/>
              </w:rPr>
              <w:t>Toename van geluidsoverlast wat direct gevolgen zal hebben op de omgevingskwaliteit</w:t>
            </w:r>
            <w:r w:rsidR="56137AFD" w:rsidRPr="00475DB6">
              <w:rPr>
                <w:rFonts w:ascii="Verdana" w:eastAsia="Times New Roman" w:hAnsi="Verdana" w:cs="Segoe UI"/>
                <w:kern w:val="0"/>
                <w:sz w:val="18"/>
                <w:szCs w:val="18"/>
                <w:lang w:eastAsia="nl-NL"/>
                <w14:ligatures w14:val="none"/>
              </w:rPr>
              <w:t xml:space="preserve"> en</w:t>
            </w:r>
            <w:r w:rsidRPr="00475DB6">
              <w:rPr>
                <w:rFonts w:ascii="Verdana" w:eastAsia="Times New Roman" w:hAnsi="Verdana" w:cs="Segoe UI"/>
                <w:kern w:val="0"/>
                <w:sz w:val="18"/>
                <w:szCs w:val="18"/>
                <w:lang w:eastAsia="nl-NL"/>
                <w14:ligatures w14:val="none"/>
              </w:rPr>
              <w:t xml:space="preserve"> het woongenot negatief zal beïnvloeden</w:t>
            </w:r>
          </w:p>
        </w:tc>
        <w:tc>
          <w:tcPr>
            <w:tcW w:w="1276" w:type="dxa"/>
          </w:tcPr>
          <w:p w14:paraId="54E39F98" w14:textId="77777777" w:rsidR="00E66B3A" w:rsidRPr="00475DB6" w:rsidRDefault="00E66B3A">
            <w:pPr>
              <w:rPr>
                <w:rFonts w:ascii="Verdana" w:hAnsi="Verdana"/>
                <w:sz w:val="18"/>
                <w:szCs w:val="18"/>
                <w:highlight w:val="yellow"/>
              </w:rPr>
            </w:pPr>
            <w:r w:rsidRPr="00475DB6">
              <w:rPr>
                <w:rFonts w:ascii="Verdana" w:hAnsi="Verdana"/>
                <w:sz w:val="18"/>
                <w:szCs w:val="18"/>
              </w:rPr>
              <w:t>40.000</w:t>
            </w:r>
          </w:p>
        </w:tc>
        <w:tc>
          <w:tcPr>
            <w:tcW w:w="1417" w:type="dxa"/>
          </w:tcPr>
          <w:p w14:paraId="3B6E6D33" w14:textId="77777777" w:rsidR="00E66B3A" w:rsidRPr="00475DB6" w:rsidRDefault="00E66B3A">
            <w:pPr>
              <w:rPr>
                <w:rFonts w:ascii="Verdana" w:hAnsi="Verdana"/>
                <w:sz w:val="18"/>
                <w:szCs w:val="18"/>
                <w:highlight w:val="yellow"/>
              </w:rPr>
            </w:pPr>
            <w:r w:rsidRPr="00475DB6">
              <w:rPr>
                <w:rFonts w:ascii="Verdana" w:hAnsi="Verdana"/>
                <w:sz w:val="18"/>
                <w:szCs w:val="18"/>
              </w:rPr>
              <w:t>Geen wettelijke taak maar aanvullende opdrachten voor OD NHN</w:t>
            </w:r>
          </w:p>
        </w:tc>
        <w:tc>
          <w:tcPr>
            <w:tcW w:w="4820" w:type="dxa"/>
          </w:tcPr>
          <w:p w14:paraId="16601559" w14:textId="019D05B7" w:rsidR="00E66B3A" w:rsidRPr="00475DB6" w:rsidRDefault="00E66B3A">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 xml:space="preserve">Door het niet </w:t>
            </w:r>
            <w:r w:rsidR="00CC04DC" w:rsidRPr="00475DB6">
              <w:rPr>
                <w:rFonts w:ascii="Verdana" w:eastAsia="Times New Roman" w:hAnsi="Verdana" w:cs="Segoe UI"/>
                <w:kern w:val="0"/>
                <w:sz w:val="18"/>
                <w:szCs w:val="18"/>
                <w:lang w:eastAsia="nl-NL"/>
                <w14:ligatures w14:val="none"/>
              </w:rPr>
              <w:t xml:space="preserve">afhandelen van </w:t>
            </w:r>
            <w:r w:rsidR="00991D0F" w:rsidRPr="00475DB6">
              <w:rPr>
                <w:rFonts w:ascii="Verdana" w:eastAsia="Times New Roman" w:hAnsi="Verdana" w:cs="Segoe UI"/>
                <w:kern w:val="0"/>
                <w:sz w:val="18"/>
                <w:szCs w:val="18"/>
                <w:lang w:eastAsia="nl-NL"/>
                <w14:ligatures w14:val="none"/>
              </w:rPr>
              <w:t xml:space="preserve">meldingen overlast </w:t>
            </w:r>
            <w:r w:rsidR="00F63E59" w:rsidRPr="00475DB6">
              <w:rPr>
                <w:rFonts w:ascii="Verdana" w:eastAsia="Times New Roman" w:hAnsi="Verdana" w:cs="Segoe UI"/>
                <w:kern w:val="0"/>
                <w:sz w:val="18"/>
                <w:szCs w:val="18"/>
                <w:lang w:eastAsia="nl-NL"/>
                <w14:ligatures w14:val="none"/>
              </w:rPr>
              <w:t xml:space="preserve">knalapparaten </w:t>
            </w:r>
            <w:r w:rsidRPr="00475DB6">
              <w:rPr>
                <w:rFonts w:ascii="Verdana" w:eastAsia="Times New Roman" w:hAnsi="Verdana" w:cs="Segoe UI"/>
                <w:kern w:val="0"/>
                <w:sz w:val="18"/>
                <w:szCs w:val="18"/>
                <w:lang w:eastAsia="nl-NL"/>
                <w14:ligatures w14:val="none"/>
              </w:rPr>
              <w:t>bestaat de kans dat er meer handhavingsverzoeken worden ingediend. Ook kunnen meer bezwaar- en beroepszaken worden ingediend in het vergunningenproces. De eventuele controles, handhaving en afhandelen van meldingen overlast zullen door gemeenten zelf worden uitgevoerd en zullen leiden tot meerkosten.</w:t>
            </w:r>
          </w:p>
          <w:p w14:paraId="7C3C20A1" w14:textId="77777777" w:rsidR="00E66B3A" w:rsidRPr="00475DB6" w:rsidRDefault="00E66B3A">
            <w:pPr>
              <w:rPr>
                <w:rFonts w:ascii="Verdana" w:hAnsi="Verdana"/>
                <w:sz w:val="18"/>
                <w:szCs w:val="18"/>
              </w:rPr>
            </w:pPr>
          </w:p>
          <w:p w14:paraId="29BCAB1D" w14:textId="77777777" w:rsidR="00E66B3A" w:rsidRPr="00475DB6" w:rsidRDefault="5668683F">
            <w:pPr>
              <w:rPr>
                <w:rFonts w:ascii="Verdana" w:hAnsi="Verdana"/>
                <w:sz w:val="18"/>
                <w:szCs w:val="18"/>
                <w:highlight w:val="yellow"/>
              </w:rPr>
            </w:pPr>
            <w:r w:rsidRPr="00475DB6">
              <w:rPr>
                <w:rFonts w:ascii="Verdana" w:hAnsi="Verdana"/>
                <w:sz w:val="18"/>
                <w:szCs w:val="18"/>
              </w:rPr>
              <w:t>Gemeenten Drechterland, Medemblik en Stede Broec nemen deze diensten in het UP van 2025 af. Hierdoor zal deze besparing voor de meeste gemeenten geen effect hebben. Mogelijke uittredingsregels zijn van toepassingen waardoor besparingen niet direct te verzilveren zijn. Daarnaast zal er mogelijk een sociaal plan opgesteld moeten worden binnen OD NHN voor de betrokken medewerkers. De kosten van dit traject en eventuele transitievergoedingen voor getroffen medewerkers zal gedragen moeten worden door de gemeenten.</w:t>
            </w:r>
          </w:p>
        </w:tc>
      </w:tr>
      <w:tr w:rsidR="00A3257F" w:rsidRPr="00475DB6" w14:paraId="38E7D19F" w14:textId="77777777" w:rsidTr="4181B624">
        <w:tc>
          <w:tcPr>
            <w:tcW w:w="845" w:type="dxa"/>
            <w:shd w:val="clear" w:color="auto" w:fill="FFC000"/>
          </w:tcPr>
          <w:p w14:paraId="20FF31A3" w14:textId="77777777" w:rsidR="00A3257F" w:rsidRPr="00475DB6" w:rsidRDefault="00A3257F">
            <w:pPr>
              <w:rPr>
                <w:rFonts w:ascii="Verdana" w:hAnsi="Verdana"/>
                <w:sz w:val="18"/>
                <w:szCs w:val="18"/>
              </w:rPr>
            </w:pPr>
            <w:r w:rsidRPr="00475DB6">
              <w:rPr>
                <w:rFonts w:ascii="Verdana" w:hAnsi="Verdana"/>
                <w:sz w:val="18"/>
                <w:szCs w:val="18"/>
              </w:rPr>
              <w:t>7</w:t>
            </w:r>
          </w:p>
        </w:tc>
        <w:tc>
          <w:tcPr>
            <w:tcW w:w="3645" w:type="dxa"/>
            <w:shd w:val="clear" w:color="auto" w:fill="FFC000"/>
          </w:tcPr>
          <w:p w14:paraId="79200DAF" w14:textId="77777777" w:rsidR="00A3257F" w:rsidRPr="00475DB6" w:rsidRDefault="00A3257F">
            <w:pPr>
              <w:rPr>
                <w:rFonts w:ascii="Verdana" w:hAnsi="Verdana"/>
                <w:sz w:val="18"/>
                <w:szCs w:val="18"/>
              </w:rPr>
            </w:pPr>
            <w:r w:rsidRPr="00475DB6">
              <w:rPr>
                <w:rFonts w:ascii="Verdana" w:hAnsi="Verdana" w:cs="Arial"/>
                <w:color w:val="000000" w:themeColor="text1"/>
                <w:sz w:val="18"/>
                <w:szCs w:val="18"/>
              </w:rPr>
              <w:t>Langere afschrijving en latere vervanging I-</w:t>
            </w:r>
            <w:proofErr w:type="spellStart"/>
            <w:r w:rsidRPr="00475DB6">
              <w:rPr>
                <w:rFonts w:ascii="Verdana" w:hAnsi="Verdana" w:cs="Arial"/>
                <w:color w:val="000000" w:themeColor="text1"/>
                <w:sz w:val="18"/>
                <w:szCs w:val="18"/>
              </w:rPr>
              <w:t>pads</w:t>
            </w:r>
            <w:proofErr w:type="spellEnd"/>
            <w:r w:rsidRPr="00475DB6">
              <w:rPr>
                <w:rFonts w:ascii="Verdana" w:hAnsi="Verdana" w:cs="Arial"/>
                <w:color w:val="000000" w:themeColor="text1"/>
                <w:sz w:val="18"/>
                <w:szCs w:val="18"/>
              </w:rPr>
              <w:t>, Telefoons en Laptops van 3 naar 4 jaar</w:t>
            </w:r>
          </w:p>
        </w:tc>
        <w:tc>
          <w:tcPr>
            <w:tcW w:w="3018" w:type="dxa"/>
          </w:tcPr>
          <w:p w14:paraId="5DB9E540" w14:textId="77777777" w:rsidR="00A3257F" w:rsidRPr="00475DB6" w:rsidRDefault="00A3257F">
            <w:pPr>
              <w:rPr>
                <w:rFonts w:ascii="Verdana" w:hAnsi="Verdana" w:cs="Arial"/>
                <w:sz w:val="18"/>
                <w:szCs w:val="18"/>
              </w:rPr>
            </w:pPr>
            <w:r w:rsidRPr="00475DB6">
              <w:rPr>
                <w:rFonts w:ascii="Verdana" w:hAnsi="Verdana" w:cs="Arial"/>
                <w:sz w:val="18"/>
                <w:szCs w:val="18"/>
              </w:rPr>
              <w:t>Mogelijk risico dat beveiligingsupdates op telefoons/I-</w:t>
            </w:r>
            <w:proofErr w:type="spellStart"/>
            <w:r w:rsidRPr="00475DB6">
              <w:rPr>
                <w:rFonts w:ascii="Verdana" w:hAnsi="Verdana" w:cs="Arial"/>
                <w:sz w:val="18"/>
                <w:szCs w:val="18"/>
              </w:rPr>
              <w:t>pads</w:t>
            </w:r>
            <w:proofErr w:type="spellEnd"/>
            <w:r w:rsidRPr="00475DB6">
              <w:rPr>
                <w:rFonts w:ascii="Verdana" w:hAnsi="Verdana" w:cs="Arial"/>
                <w:sz w:val="18"/>
                <w:szCs w:val="18"/>
              </w:rPr>
              <w:t xml:space="preserve"> niet meer worden gegarandeerd. Indien risico aanwezig is kunnen</w:t>
            </w:r>
          </w:p>
          <w:p w14:paraId="3F9CB56C" w14:textId="77777777" w:rsidR="00A3257F" w:rsidRPr="00475DB6" w:rsidRDefault="00A3257F">
            <w:pPr>
              <w:rPr>
                <w:rFonts w:ascii="Verdana" w:hAnsi="Verdana"/>
                <w:sz w:val="18"/>
                <w:szCs w:val="18"/>
              </w:rPr>
            </w:pPr>
            <w:r w:rsidRPr="00475DB6">
              <w:rPr>
                <w:rFonts w:ascii="Verdana" w:hAnsi="Verdana" w:cs="Arial"/>
                <w:sz w:val="18"/>
                <w:szCs w:val="18"/>
              </w:rPr>
              <w:t xml:space="preserve">Systemen en data onvoldoende beveiligd zijn met </w:t>
            </w:r>
            <w:proofErr w:type="spellStart"/>
            <w:r w:rsidRPr="00475DB6">
              <w:rPr>
                <w:rFonts w:ascii="Verdana" w:hAnsi="Verdana" w:cs="Arial"/>
                <w:sz w:val="18"/>
                <w:szCs w:val="18"/>
              </w:rPr>
              <w:t>datalek</w:t>
            </w:r>
            <w:proofErr w:type="spellEnd"/>
            <w:r w:rsidRPr="00475DB6">
              <w:rPr>
                <w:rFonts w:ascii="Verdana" w:hAnsi="Verdana" w:cs="Arial"/>
                <w:sz w:val="18"/>
                <w:szCs w:val="18"/>
              </w:rPr>
              <w:t xml:space="preserve"> en/of systeemverstoringen tot gevolg. Waarbij het primaire proces komt stil te liggen en/of vertraagd met eventuele maatschappelijke verstoringen tot gevolg.</w:t>
            </w:r>
          </w:p>
        </w:tc>
        <w:tc>
          <w:tcPr>
            <w:tcW w:w="1276" w:type="dxa"/>
          </w:tcPr>
          <w:p w14:paraId="79E8BCA8" w14:textId="77777777" w:rsidR="00A3257F" w:rsidRPr="00475DB6" w:rsidRDefault="00A3257F">
            <w:pPr>
              <w:rPr>
                <w:rFonts w:ascii="Verdana" w:hAnsi="Verdana"/>
                <w:sz w:val="18"/>
                <w:szCs w:val="18"/>
              </w:rPr>
            </w:pPr>
            <w:r w:rsidRPr="00475DB6">
              <w:rPr>
                <w:rFonts w:ascii="Verdana" w:hAnsi="Verdana"/>
                <w:sz w:val="18"/>
                <w:szCs w:val="18"/>
              </w:rPr>
              <w:t>Gem. 28.000</w:t>
            </w:r>
          </w:p>
        </w:tc>
        <w:tc>
          <w:tcPr>
            <w:tcW w:w="1417" w:type="dxa"/>
          </w:tcPr>
          <w:p w14:paraId="709A83B9" w14:textId="77777777" w:rsidR="00A3257F" w:rsidRPr="00475DB6" w:rsidRDefault="00A3257F">
            <w:pPr>
              <w:rPr>
                <w:rFonts w:ascii="Verdana" w:hAnsi="Verdana"/>
                <w:sz w:val="18"/>
                <w:szCs w:val="18"/>
              </w:rPr>
            </w:pPr>
            <w:r w:rsidRPr="00475DB6">
              <w:rPr>
                <w:rFonts w:ascii="Verdana" w:hAnsi="Verdana"/>
                <w:sz w:val="18"/>
                <w:szCs w:val="18"/>
              </w:rPr>
              <w:t>N.V.T.</w:t>
            </w:r>
          </w:p>
        </w:tc>
        <w:tc>
          <w:tcPr>
            <w:tcW w:w="4820" w:type="dxa"/>
          </w:tcPr>
          <w:p w14:paraId="72BC326F" w14:textId="77777777" w:rsidR="00A3257F" w:rsidRPr="00475DB6" w:rsidRDefault="00A3257F">
            <w:pPr>
              <w:rPr>
                <w:rFonts w:ascii="Verdana" w:hAnsi="Verdana"/>
                <w:sz w:val="18"/>
                <w:szCs w:val="18"/>
              </w:rPr>
            </w:pPr>
            <w:r w:rsidRPr="00475DB6">
              <w:rPr>
                <w:rFonts w:ascii="Verdana" w:hAnsi="Verdana" w:cs="Arial"/>
                <w:sz w:val="18"/>
                <w:szCs w:val="18"/>
              </w:rPr>
              <w:t>Risico en impact zal nog nader getoetst moeten worden. In verband met geen gelijke vervanging per jaar (in verleden) zal besparing per jaar kunnen verschillen.</w:t>
            </w:r>
          </w:p>
        </w:tc>
      </w:tr>
      <w:tr w:rsidR="00A3257F" w:rsidRPr="00475DB6" w14:paraId="777345C1" w14:textId="77777777" w:rsidTr="4181B624">
        <w:tc>
          <w:tcPr>
            <w:tcW w:w="845" w:type="dxa"/>
            <w:shd w:val="clear" w:color="auto" w:fill="FF0000"/>
          </w:tcPr>
          <w:p w14:paraId="30619FFF" w14:textId="77777777" w:rsidR="00A3257F" w:rsidRPr="00475DB6" w:rsidRDefault="00A3257F">
            <w:pPr>
              <w:rPr>
                <w:rFonts w:ascii="Verdana" w:hAnsi="Verdana"/>
                <w:sz w:val="18"/>
                <w:szCs w:val="18"/>
              </w:rPr>
            </w:pPr>
            <w:r w:rsidRPr="00475DB6">
              <w:rPr>
                <w:rFonts w:ascii="Verdana" w:hAnsi="Verdana"/>
                <w:sz w:val="18"/>
                <w:szCs w:val="18"/>
              </w:rPr>
              <w:t>8</w:t>
            </w:r>
          </w:p>
        </w:tc>
        <w:tc>
          <w:tcPr>
            <w:tcW w:w="3645" w:type="dxa"/>
            <w:shd w:val="clear" w:color="auto" w:fill="FF0000"/>
          </w:tcPr>
          <w:p w14:paraId="2C43CE4F" w14:textId="77777777" w:rsidR="00A3257F" w:rsidRPr="00475DB6" w:rsidRDefault="00A3257F">
            <w:pPr>
              <w:rPr>
                <w:rFonts w:ascii="Verdana" w:hAnsi="Verdana"/>
                <w:sz w:val="18"/>
                <w:szCs w:val="18"/>
              </w:rPr>
            </w:pPr>
            <w:r w:rsidRPr="00475DB6">
              <w:rPr>
                <w:rFonts w:ascii="Verdana" w:hAnsi="Verdana"/>
                <w:sz w:val="18"/>
                <w:szCs w:val="18"/>
              </w:rPr>
              <w:t>Meldingen (deels) administratief afdoen</w:t>
            </w:r>
          </w:p>
          <w:p w14:paraId="404E69EA" w14:textId="77777777" w:rsidR="00A3257F" w:rsidRPr="00475DB6" w:rsidRDefault="00A3257F">
            <w:pPr>
              <w:rPr>
                <w:rFonts w:ascii="Verdana" w:hAnsi="Verdana"/>
                <w:sz w:val="18"/>
                <w:szCs w:val="18"/>
              </w:rPr>
            </w:pPr>
          </w:p>
        </w:tc>
        <w:tc>
          <w:tcPr>
            <w:tcW w:w="3018" w:type="dxa"/>
          </w:tcPr>
          <w:p w14:paraId="1B421F36" w14:textId="77777777" w:rsidR="00A3257F" w:rsidRPr="00475DB6" w:rsidRDefault="00A3257F">
            <w:pPr>
              <w:rPr>
                <w:rFonts w:ascii="Verdana" w:hAnsi="Verdana"/>
                <w:sz w:val="18"/>
                <w:szCs w:val="18"/>
              </w:rPr>
            </w:pPr>
            <w:r w:rsidRPr="00475DB6">
              <w:rPr>
                <w:rFonts w:ascii="Verdana" w:eastAsia="Times New Roman" w:hAnsi="Verdana" w:cs="Segoe UI"/>
                <w:kern w:val="0"/>
                <w:sz w:val="18"/>
                <w:szCs w:val="18"/>
                <w:lang w:eastAsia="nl-NL"/>
                <w14:ligatures w14:val="none"/>
              </w:rPr>
              <w:t>De afhandeling van meldingen betreft grotendeels gemeentelijke basistaken. Deze worden voor een deel op een lager ambitieniveau opgepakt. Dit leidt tot onvoldoende ondersteuning voor initiatiefnemers en toenemende overlast voor de omgeving, het stilleggen van initiatieven, vertragingen en hogere kosten. Mogelijk met maatschappelijke gevolgen voor gemeenten. Daarmee wordt voor een deel van de initiatieven niet voldaan aan de vastgestelde U&amp;H-strategie.</w:t>
            </w:r>
          </w:p>
        </w:tc>
        <w:tc>
          <w:tcPr>
            <w:tcW w:w="1276" w:type="dxa"/>
            <w:shd w:val="clear" w:color="auto" w:fill="auto"/>
          </w:tcPr>
          <w:p w14:paraId="52B40EFE" w14:textId="77777777" w:rsidR="00A3257F" w:rsidRPr="00475DB6" w:rsidRDefault="00A3257F">
            <w:pPr>
              <w:rPr>
                <w:rFonts w:ascii="Verdana" w:hAnsi="Verdana"/>
                <w:sz w:val="18"/>
                <w:szCs w:val="18"/>
              </w:rPr>
            </w:pPr>
            <w:r w:rsidRPr="00475DB6">
              <w:rPr>
                <w:rFonts w:ascii="Verdana" w:hAnsi="Verdana"/>
                <w:sz w:val="18"/>
                <w:szCs w:val="18"/>
              </w:rPr>
              <w:t>175.000</w:t>
            </w:r>
          </w:p>
        </w:tc>
        <w:tc>
          <w:tcPr>
            <w:tcW w:w="1417" w:type="dxa"/>
          </w:tcPr>
          <w:p w14:paraId="60AFFED6" w14:textId="77777777" w:rsidR="00A3257F" w:rsidRPr="00475DB6" w:rsidRDefault="00A3257F">
            <w:pPr>
              <w:rPr>
                <w:rFonts w:ascii="Verdana" w:hAnsi="Verdana"/>
                <w:sz w:val="18"/>
                <w:szCs w:val="18"/>
              </w:rPr>
            </w:pPr>
            <w:r w:rsidRPr="00475DB6">
              <w:rPr>
                <w:rFonts w:ascii="Verdana" w:hAnsi="Verdana"/>
                <w:sz w:val="18"/>
                <w:szCs w:val="18"/>
              </w:rPr>
              <w:t>Ja</w:t>
            </w:r>
          </w:p>
        </w:tc>
        <w:tc>
          <w:tcPr>
            <w:tcW w:w="4820" w:type="dxa"/>
          </w:tcPr>
          <w:p w14:paraId="5AD04C67"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u w:val="single"/>
                <w:lang w:eastAsia="nl-NL"/>
                <w14:ligatures w14:val="none"/>
              </w:rPr>
              <w:t>1.Eigen verantwoordelijkheid van initiatiefnemers</w:t>
            </w:r>
          </w:p>
          <w:p w14:paraId="04100482"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Initiatiefnemers hebben meer verantwoordelijkheid, maar zijn vaak onvoldoende deskundig, wat leidt tot (onbedoelde) fouten en onduidelijkheid, ook voor de bedrijven zelf en hun omwonenden. De ondersteuning aan initiatiefnemers wordt minder waardoor de inhoudelijke kwaliteit van meldingen achterblijft en risico’s voor de omgeving toenemen.</w:t>
            </w:r>
          </w:p>
          <w:p w14:paraId="758990B7" w14:textId="77777777" w:rsidR="00A3257F" w:rsidRPr="00475DB6" w:rsidRDefault="00A3257F">
            <w:pPr>
              <w:textAlignment w:val="baseline"/>
              <w:rPr>
                <w:rFonts w:ascii="Verdana" w:eastAsia="Times New Roman" w:hAnsi="Verdana" w:cs="Segoe UI"/>
                <w:kern w:val="0"/>
                <w:sz w:val="18"/>
                <w:szCs w:val="18"/>
                <w:lang w:eastAsia="nl-NL"/>
                <w14:ligatures w14:val="none"/>
              </w:rPr>
            </w:pPr>
          </w:p>
          <w:p w14:paraId="3BF7AA67" w14:textId="77777777" w:rsidR="009C2EEA" w:rsidRPr="00475DB6" w:rsidRDefault="009C2EEA">
            <w:pPr>
              <w:textAlignment w:val="baseline"/>
              <w:rPr>
                <w:rFonts w:ascii="Verdana" w:eastAsia="Times New Roman" w:hAnsi="Verdana" w:cs="Segoe UI"/>
                <w:kern w:val="0"/>
                <w:sz w:val="18"/>
                <w:szCs w:val="18"/>
                <w:lang w:eastAsia="nl-NL"/>
                <w14:ligatures w14:val="none"/>
              </w:rPr>
            </w:pPr>
          </w:p>
          <w:p w14:paraId="3981C41A" w14:textId="77777777" w:rsidR="00A3257F" w:rsidRPr="00475DB6" w:rsidRDefault="00A3257F">
            <w:pPr>
              <w:textAlignment w:val="baseline"/>
              <w:rPr>
                <w:rFonts w:ascii="Verdana" w:eastAsia="Times New Roman" w:hAnsi="Verdana" w:cs="Segoe UI"/>
                <w:kern w:val="0"/>
                <w:sz w:val="18"/>
                <w:szCs w:val="18"/>
                <w:u w:val="single"/>
                <w:lang w:eastAsia="nl-NL"/>
                <w14:ligatures w14:val="none"/>
              </w:rPr>
            </w:pPr>
            <w:r w:rsidRPr="00475DB6">
              <w:rPr>
                <w:rFonts w:ascii="Verdana" w:eastAsia="Times New Roman" w:hAnsi="Verdana" w:cs="Segoe UI"/>
                <w:kern w:val="0"/>
                <w:sz w:val="18"/>
                <w:szCs w:val="18"/>
                <w:u w:val="single"/>
                <w:lang w:eastAsia="nl-NL"/>
                <w14:ligatures w14:val="none"/>
              </w:rPr>
              <w:t>2.Hogere kosten voor toezicht en handhaving</w:t>
            </w:r>
          </w:p>
          <w:p w14:paraId="424CEA98"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Onbeoordeelde meldingen aan de voorkant leiden mogelijk tot hogere operationele kosten aan de achterkant waardoor voorziene besparingen niet worden gerealiseerd. Dit geldt voor toezicht en handhaving maar mogelijk ook voor Woo-verzoeken.</w:t>
            </w:r>
          </w:p>
          <w:p w14:paraId="0C7D02B1" w14:textId="77777777" w:rsidR="009C2EEA" w:rsidRPr="00475DB6" w:rsidRDefault="009C2EEA">
            <w:pPr>
              <w:textAlignment w:val="baseline"/>
              <w:rPr>
                <w:rFonts w:ascii="Verdana" w:eastAsia="Times New Roman" w:hAnsi="Verdana" w:cs="Segoe UI"/>
                <w:kern w:val="0"/>
                <w:sz w:val="18"/>
                <w:szCs w:val="18"/>
                <w:lang w:eastAsia="nl-NL"/>
                <w14:ligatures w14:val="none"/>
              </w:rPr>
            </w:pPr>
          </w:p>
          <w:p w14:paraId="2C6B7AE0"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u w:val="single"/>
                <w:lang w:eastAsia="nl-NL"/>
                <w14:ligatures w14:val="none"/>
              </w:rPr>
              <w:t>3.Kennisverlies en informatiegebrek</w:t>
            </w:r>
            <w:r w:rsidRPr="00475DB6">
              <w:rPr>
                <w:rFonts w:ascii="Verdana" w:eastAsia="Times New Roman" w:hAnsi="Verdana" w:cs="Segoe UI"/>
                <w:kern w:val="0"/>
                <w:sz w:val="18"/>
                <w:szCs w:val="18"/>
                <w:lang w:eastAsia="nl-NL"/>
                <w14:ligatures w14:val="none"/>
              </w:rPr>
              <w:t xml:space="preserve"> </w:t>
            </w:r>
          </w:p>
          <w:p w14:paraId="3255AC82"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Gemeenten lopen het risico op kennisverlies, wat de effectiviteit van de werkzaamheden ondermijnt. De informatiepositie over bijvoorbeeld industrieterreinen en individuele bedrijven neemt af.</w:t>
            </w:r>
          </w:p>
          <w:p w14:paraId="63EDCF07" w14:textId="77777777" w:rsidR="009C2EEA" w:rsidRPr="00475DB6" w:rsidRDefault="009C2EEA">
            <w:pPr>
              <w:textAlignment w:val="baseline"/>
              <w:rPr>
                <w:rFonts w:ascii="Verdana" w:eastAsia="Times New Roman" w:hAnsi="Verdana" w:cs="Segoe UI"/>
                <w:kern w:val="0"/>
                <w:sz w:val="18"/>
                <w:szCs w:val="18"/>
                <w:lang w:eastAsia="nl-NL"/>
                <w14:ligatures w14:val="none"/>
              </w:rPr>
            </w:pPr>
          </w:p>
          <w:p w14:paraId="578A7A70" w14:textId="77777777" w:rsidR="00A3257F" w:rsidRPr="00475DB6" w:rsidRDefault="00A3257F">
            <w:pPr>
              <w:textAlignment w:val="baseline"/>
              <w:rPr>
                <w:rFonts w:ascii="Verdana" w:eastAsia="Times New Roman" w:hAnsi="Verdana" w:cs="Segoe UI"/>
                <w:kern w:val="0"/>
                <w:sz w:val="18"/>
                <w:szCs w:val="18"/>
                <w:u w:val="single"/>
                <w:lang w:eastAsia="nl-NL"/>
                <w14:ligatures w14:val="none"/>
              </w:rPr>
            </w:pPr>
            <w:r w:rsidRPr="00475DB6">
              <w:rPr>
                <w:rFonts w:ascii="Verdana" w:eastAsia="Times New Roman" w:hAnsi="Verdana" w:cs="Segoe UI"/>
                <w:kern w:val="0"/>
                <w:sz w:val="18"/>
                <w:szCs w:val="18"/>
                <w:u w:val="single"/>
                <w:lang w:eastAsia="nl-NL"/>
                <w14:ligatures w14:val="none"/>
              </w:rPr>
              <w:t>4.Praktijk</w:t>
            </w:r>
          </w:p>
          <w:p w14:paraId="76880874"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Gebrekkige regulering kan leiden tot inefficiënte initiatieven en imagoschade voor gemeenten als gevolg van desinvesteringen door burgers en bedrijven.</w:t>
            </w:r>
          </w:p>
          <w:p w14:paraId="7C5A2248" w14:textId="77777777" w:rsidR="009C2EEA" w:rsidRPr="00475DB6" w:rsidRDefault="009C2EEA">
            <w:pPr>
              <w:textAlignment w:val="baseline"/>
              <w:rPr>
                <w:rFonts w:ascii="Verdana" w:eastAsia="Times New Roman" w:hAnsi="Verdana" w:cs="Segoe UI"/>
                <w:kern w:val="0"/>
                <w:sz w:val="18"/>
                <w:szCs w:val="18"/>
                <w:lang w:eastAsia="nl-NL"/>
                <w14:ligatures w14:val="none"/>
              </w:rPr>
            </w:pPr>
          </w:p>
          <w:p w14:paraId="6EFE3CC9" w14:textId="77777777" w:rsidR="00A3257F" w:rsidRPr="00475DB6" w:rsidRDefault="00A3257F">
            <w:pPr>
              <w:textAlignment w:val="baseline"/>
              <w:rPr>
                <w:rFonts w:ascii="Verdana" w:eastAsia="Times New Roman" w:hAnsi="Verdana" w:cs="Segoe UI"/>
                <w:kern w:val="0"/>
                <w:sz w:val="18"/>
                <w:szCs w:val="18"/>
                <w:u w:val="single"/>
                <w:lang w:eastAsia="nl-NL"/>
                <w14:ligatures w14:val="none"/>
              </w:rPr>
            </w:pPr>
            <w:r w:rsidRPr="00475DB6">
              <w:rPr>
                <w:rFonts w:ascii="Verdana" w:eastAsia="Times New Roman" w:hAnsi="Verdana" w:cs="Segoe UI"/>
                <w:kern w:val="0"/>
                <w:sz w:val="18"/>
                <w:szCs w:val="18"/>
                <w:u w:val="single"/>
                <w:lang w:eastAsia="nl-NL"/>
                <w14:ligatures w14:val="none"/>
              </w:rPr>
              <w:t>5.Toename van juridische procedures</w:t>
            </w:r>
          </w:p>
          <w:p w14:paraId="2A6ED02D"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Door onduidelijkheid over bedrijfsactiviteiten worden omwonenden actiever. Dit leidt tot extra werk voor toezichthouders en juristen. Onomkeerbare situaties leiden tot imagoschade voor gemeenten.</w:t>
            </w:r>
          </w:p>
          <w:p w14:paraId="057A3C1B" w14:textId="77777777" w:rsidR="009C2EEA" w:rsidRPr="00475DB6" w:rsidRDefault="009C2EEA">
            <w:pPr>
              <w:textAlignment w:val="baseline"/>
              <w:rPr>
                <w:rFonts w:ascii="Verdana" w:eastAsia="Times New Roman" w:hAnsi="Verdana" w:cs="Segoe UI"/>
                <w:kern w:val="0"/>
                <w:sz w:val="18"/>
                <w:szCs w:val="18"/>
                <w:lang w:eastAsia="nl-NL"/>
                <w14:ligatures w14:val="none"/>
              </w:rPr>
            </w:pPr>
          </w:p>
          <w:p w14:paraId="25D5BED7" w14:textId="77777777" w:rsidR="00A3257F" w:rsidRPr="00475DB6" w:rsidRDefault="00A3257F">
            <w:pPr>
              <w:textAlignment w:val="baseline"/>
              <w:rPr>
                <w:rFonts w:ascii="Verdana" w:eastAsia="Times New Roman" w:hAnsi="Verdana" w:cs="Segoe UI"/>
                <w:kern w:val="0"/>
                <w:sz w:val="18"/>
                <w:szCs w:val="18"/>
                <w:u w:val="single"/>
                <w:lang w:eastAsia="nl-NL"/>
                <w14:ligatures w14:val="none"/>
              </w:rPr>
            </w:pPr>
            <w:r w:rsidRPr="00475DB6">
              <w:rPr>
                <w:rFonts w:ascii="Verdana" w:eastAsia="Times New Roman" w:hAnsi="Verdana" w:cs="Segoe UI"/>
                <w:kern w:val="0"/>
                <w:sz w:val="18"/>
                <w:szCs w:val="18"/>
                <w:u w:val="single"/>
                <w:lang w:eastAsia="nl-NL"/>
                <w14:ligatures w14:val="none"/>
              </w:rPr>
              <w:t xml:space="preserve">6.Verschuiving in lumpsum </w:t>
            </w:r>
          </w:p>
          <w:p w14:paraId="14071673"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Gemeenten hebben basistaken in lumpsum opgenomen, wat complicaties kan opleveren met betrekking tot mogelijke uittredingregels en besparingen niet direct gerealiseerd kunnen worden.</w:t>
            </w:r>
          </w:p>
          <w:p w14:paraId="6EF4F32B" w14:textId="77777777" w:rsidR="00A3257F" w:rsidRPr="00475DB6" w:rsidRDefault="00A3257F">
            <w:pPr>
              <w:textAlignment w:val="baseline"/>
              <w:rPr>
                <w:rFonts w:ascii="Verdana" w:eastAsia="Times New Roman" w:hAnsi="Verdana" w:cs="Segoe UI"/>
                <w:kern w:val="0"/>
                <w:sz w:val="18"/>
                <w:szCs w:val="18"/>
                <w:lang w:eastAsia="nl-NL"/>
                <w14:ligatures w14:val="none"/>
              </w:rPr>
            </w:pPr>
          </w:p>
          <w:p w14:paraId="4621BE11"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u w:val="single"/>
                <w:lang w:eastAsia="nl-NL"/>
                <w14:ligatures w14:val="none"/>
              </w:rPr>
              <w:t>7.Afname van carrièreperspectief</w:t>
            </w:r>
            <w:r w:rsidRPr="00475DB6">
              <w:rPr>
                <w:rFonts w:ascii="Verdana" w:eastAsia="Times New Roman" w:hAnsi="Verdana" w:cs="Segoe UI"/>
                <w:kern w:val="0"/>
                <w:sz w:val="18"/>
                <w:szCs w:val="18"/>
                <w:lang w:eastAsia="nl-NL"/>
                <w14:ligatures w14:val="none"/>
              </w:rPr>
              <w:t xml:space="preserve"> </w:t>
            </w:r>
          </w:p>
          <w:p w14:paraId="17857F59" w14:textId="77777777" w:rsidR="00A3257F" w:rsidRPr="00475DB6" w:rsidRDefault="00A3257F">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 xml:space="preserve">De OD wordt een minder aantrekkelijk werkgever voor (beginnende) vergunningverleners. De leveringszekerheid en kwaliteit van de dienstverlening komt daarmee onder druk te staan. Stagnerende mogelijkheden voor nieuwkomers en een afname van de aantrekkelijkheid van de werkgever kunnen leiden tot een lagere instroom van talent. </w:t>
            </w:r>
          </w:p>
        </w:tc>
      </w:tr>
      <w:tr w:rsidR="00B11477" w:rsidRPr="00475DB6" w14:paraId="546F4358" w14:textId="77777777" w:rsidTr="4181B624">
        <w:tc>
          <w:tcPr>
            <w:tcW w:w="845" w:type="dxa"/>
            <w:shd w:val="clear" w:color="auto" w:fill="FFC000"/>
          </w:tcPr>
          <w:p w14:paraId="3828A6FB" w14:textId="77777777" w:rsidR="00B11477" w:rsidRPr="00475DB6" w:rsidRDefault="00B11477" w:rsidP="00B11477">
            <w:pPr>
              <w:rPr>
                <w:rFonts w:ascii="Verdana" w:hAnsi="Verdana"/>
                <w:sz w:val="18"/>
                <w:szCs w:val="18"/>
              </w:rPr>
            </w:pPr>
          </w:p>
        </w:tc>
        <w:tc>
          <w:tcPr>
            <w:tcW w:w="3645" w:type="dxa"/>
            <w:shd w:val="clear" w:color="auto" w:fill="FFC000"/>
          </w:tcPr>
          <w:p w14:paraId="0A9ABA9C" w14:textId="30F28D5C" w:rsidR="00B11477" w:rsidRPr="00475DB6" w:rsidRDefault="00B11477" w:rsidP="00B11477">
            <w:pPr>
              <w:rPr>
                <w:rFonts w:ascii="Verdana" w:hAnsi="Verdana"/>
                <w:sz w:val="18"/>
                <w:szCs w:val="18"/>
              </w:rPr>
            </w:pPr>
            <w:r w:rsidRPr="00475DB6">
              <w:rPr>
                <w:rFonts w:ascii="Verdana" w:hAnsi="Verdana" w:cs="Arial"/>
                <w:b/>
                <w:bCs/>
                <w:color w:val="000000" w:themeColor="text1"/>
                <w:sz w:val="18"/>
                <w:szCs w:val="18"/>
              </w:rPr>
              <w:t>Totaal</w:t>
            </w:r>
          </w:p>
        </w:tc>
        <w:tc>
          <w:tcPr>
            <w:tcW w:w="3018" w:type="dxa"/>
            <w:shd w:val="clear" w:color="auto" w:fill="FFC000"/>
          </w:tcPr>
          <w:p w14:paraId="6CF5BAD3" w14:textId="77777777" w:rsidR="00B11477" w:rsidRPr="00475DB6" w:rsidRDefault="00B11477" w:rsidP="00B11477">
            <w:pPr>
              <w:rPr>
                <w:rFonts w:ascii="Verdana" w:eastAsia="Times New Roman" w:hAnsi="Verdana" w:cs="Segoe UI"/>
                <w:kern w:val="0"/>
                <w:sz w:val="18"/>
                <w:szCs w:val="18"/>
                <w:lang w:eastAsia="nl-NL"/>
                <w14:ligatures w14:val="none"/>
              </w:rPr>
            </w:pPr>
          </w:p>
        </w:tc>
        <w:tc>
          <w:tcPr>
            <w:tcW w:w="1276" w:type="dxa"/>
            <w:shd w:val="clear" w:color="auto" w:fill="FFC000"/>
          </w:tcPr>
          <w:p w14:paraId="2A0D2DC9" w14:textId="2B58BDFE" w:rsidR="00B11477" w:rsidRPr="00475DB6" w:rsidRDefault="00C92C04" w:rsidP="00B11477">
            <w:pPr>
              <w:rPr>
                <w:rFonts w:ascii="Verdana" w:hAnsi="Verdana"/>
                <w:sz w:val="18"/>
                <w:szCs w:val="18"/>
              </w:rPr>
            </w:pPr>
            <w:r w:rsidRPr="00475DB6">
              <w:rPr>
                <w:rFonts w:ascii="Verdana" w:hAnsi="Verdana"/>
                <w:b/>
                <w:bCs/>
                <w:sz w:val="18"/>
                <w:szCs w:val="18"/>
              </w:rPr>
              <w:t>596.000</w:t>
            </w:r>
          </w:p>
        </w:tc>
        <w:tc>
          <w:tcPr>
            <w:tcW w:w="1417" w:type="dxa"/>
            <w:shd w:val="clear" w:color="auto" w:fill="FFC000"/>
          </w:tcPr>
          <w:p w14:paraId="56A238AE" w14:textId="77777777" w:rsidR="00B11477" w:rsidRPr="00475DB6" w:rsidRDefault="00B11477" w:rsidP="00B11477">
            <w:pPr>
              <w:rPr>
                <w:rFonts w:ascii="Verdana" w:hAnsi="Verdana"/>
                <w:sz w:val="18"/>
                <w:szCs w:val="18"/>
              </w:rPr>
            </w:pPr>
          </w:p>
        </w:tc>
        <w:tc>
          <w:tcPr>
            <w:tcW w:w="4820" w:type="dxa"/>
            <w:shd w:val="clear" w:color="auto" w:fill="FFC000"/>
          </w:tcPr>
          <w:p w14:paraId="2865620D" w14:textId="1ED8942E" w:rsidR="00B11477" w:rsidRPr="00475DB6" w:rsidRDefault="00B31AB8" w:rsidP="00B11477">
            <w:pPr>
              <w:textAlignment w:val="baseline"/>
              <w:rPr>
                <w:rFonts w:ascii="Verdana" w:eastAsia="Times New Roman" w:hAnsi="Verdana" w:cs="Segoe UI"/>
                <w:b/>
                <w:bCs/>
                <w:kern w:val="0"/>
                <w:sz w:val="18"/>
                <w:szCs w:val="18"/>
                <w:lang w:eastAsia="nl-NL"/>
                <w14:ligatures w14:val="none"/>
              </w:rPr>
            </w:pPr>
            <w:r w:rsidRPr="00475DB6">
              <w:rPr>
                <w:rFonts w:ascii="Verdana" w:eastAsia="Times New Roman" w:hAnsi="Verdana" w:cs="Segoe UI"/>
                <w:color w:val="000000" w:themeColor="text1"/>
                <w:kern w:val="0"/>
                <w:sz w:val="18"/>
                <w:szCs w:val="18"/>
                <w:lang w:eastAsia="nl-NL"/>
                <w14:ligatures w14:val="none"/>
              </w:rPr>
              <w:t>Voorgestelde besparingsmaatregelen t/m 3%</w:t>
            </w:r>
          </w:p>
        </w:tc>
      </w:tr>
    </w:tbl>
    <w:p w14:paraId="64057A15" w14:textId="77777777" w:rsidR="00BD1E2D" w:rsidRPr="00475DB6" w:rsidRDefault="00BD1E2D">
      <w:pPr>
        <w:rPr>
          <w:rFonts w:ascii="Verdana" w:hAnsi="Verdana"/>
          <w:b/>
          <w:bCs/>
          <w:sz w:val="18"/>
          <w:szCs w:val="18"/>
        </w:rPr>
      </w:pPr>
    </w:p>
    <w:p w14:paraId="23E4A6B6" w14:textId="442A4120" w:rsidR="001D2B17" w:rsidRPr="00475DB6" w:rsidRDefault="00F10A61" w:rsidP="001D2B17">
      <w:pPr>
        <w:spacing w:line="240" w:lineRule="auto"/>
        <w:rPr>
          <w:rFonts w:ascii="Verdana" w:hAnsi="Verdana"/>
          <w:b/>
          <w:bCs/>
          <w:sz w:val="18"/>
          <w:szCs w:val="18"/>
        </w:rPr>
      </w:pPr>
      <w:r w:rsidRPr="00475DB6">
        <w:rPr>
          <w:rFonts w:ascii="Verdana" w:hAnsi="Verdana"/>
          <w:b/>
          <w:bCs/>
          <w:sz w:val="18"/>
          <w:szCs w:val="18"/>
        </w:rPr>
        <w:t xml:space="preserve">Tabel 2 </w:t>
      </w:r>
      <w:r w:rsidR="00FE1D6B" w:rsidRPr="00475DB6">
        <w:rPr>
          <w:rFonts w:ascii="Verdana" w:hAnsi="Verdana"/>
          <w:b/>
          <w:bCs/>
          <w:sz w:val="18"/>
          <w:szCs w:val="18"/>
        </w:rPr>
        <w:t xml:space="preserve">Aanvullende </w:t>
      </w:r>
      <w:r w:rsidR="001D2B17" w:rsidRPr="00475DB6">
        <w:rPr>
          <w:rFonts w:ascii="Verdana" w:hAnsi="Verdana"/>
          <w:b/>
          <w:bCs/>
          <w:sz w:val="18"/>
          <w:szCs w:val="18"/>
        </w:rPr>
        <w:t xml:space="preserve">Specificatie voorgestelde bezuinigingsmaatregelen t/m </w:t>
      </w:r>
      <w:r w:rsidR="00A3257F" w:rsidRPr="00475DB6">
        <w:rPr>
          <w:rFonts w:ascii="Verdana" w:hAnsi="Verdana"/>
          <w:b/>
          <w:bCs/>
          <w:sz w:val="18"/>
          <w:szCs w:val="18"/>
        </w:rPr>
        <w:t>5</w:t>
      </w:r>
      <w:r w:rsidR="001D2B17" w:rsidRPr="00475DB6">
        <w:rPr>
          <w:rFonts w:ascii="Verdana" w:hAnsi="Verdana"/>
          <w:b/>
          <w:bCs/>
          <w:sz w:val="18"/>
          <w:szCs w:val="18"/>
        </w:rPr>
        <w:t>%</w:t>
      </w:r>
    </w:p>
    <w:tbl>
      <w:tblPr>
        <w:tblStyle w:val="Tabelraster"/>
        <w:tblW w:w="15021" w:type="dxa"/>
        <w:tblLayout w:type="fixed"/>
        <w:tblLook w:val="04A0" w:firstRow="1" w:lastRow="0" w:firstColumn="1" w:lastColumn="0" w:noHBand="0" w:noVBand="1"/>
      </w:tblPr>
      <w:tblGrid>
        <w:gridCol w:w="845"/>
        <w:gridCol w:w="3750"/>
        <w:gridCol w:w="2913"/>
        <w:gridCol w:w="1276"/>
        <w:gridCol w:w="1417"/>
        <w:gridCol w:w="4820"/>
      </w:tblGrid>
      <w:tr w:rsidR="0077668B" w:rsidRPr="00475DB6" w14:paraId="235BED5A" w14:textId="77777777" w:rsidTr="4181B624">
        <w:tc>
          <w:tcPr>
            <w:tcW w:w="845" w:type="dxa"/>
            <w:shd w:val="clear" w:color="auto" w:fill="FFC000"/>
          </w:tcPr>
          <w:p w14:paraId="4FE2E383" w14:textId="77777777" w:rsidR="0077668B" w:rsidRPr="00475DB6" w:rsidRDefault="0077668B">
            <w:pPr>
              <w:rPr>
                <w:rFonts w:ascii="Verdana" w:hAnsi="Verdana"/>
                <w:sz w:val="18"/>
                <w:szCs w:val="18"/>
              </w:rPr>
            </w:pPr>
          </w:p>
        </w:tc>
        <w:tc>
          <w:tcPr>
            <w:tcW w:w="3750" w:type="dxa"/>
            <w:shd w:val="clear" w:color="auto" w:fill="FFC000"/>
          </w:tcPr>
          <w:p w14:paraId="4E3F011E" w14:textId="5097607C" w:rsidR="0077668B" w:rsidRPr="00475DB6" w:rsidRDefault="001641BB">
            <w:pPr>
              <w:rPr>
                <w:rFonts w:ascii="Verdana" w:hAnsi="Verdana" w:cs="Arial"/>
                <w:b/>
                <w:bCs/>
                <w:sz w:val="18"/>
                <w:szCs w:val="18"/>
              </w:rPr>
            </w:pPr>
            <w:r>
              <w:rPr>
                <w:rFonts w:ascii="Verdana" w:hAnsi="Verdana" w:cs="Arial"/>
                <w:b/>
                <w:bCs/>
                <w:color w:val="000000" w:themeColor="text1"/>
                <w:sz w:val="18"/>
                <w:szCs w:val="18"/>
              </w:rPr>
              <w:t>Startt</w:t>
            </w:r>
            <w:r w:rsidR="0077668B" w:rsidRPr="00475DB6">
              <w:rPr>
                <w:rFonts w:ascii="Verdana" w:hAnsi="Verdana" w:cs="Arial"/>
                <w:b/>
                <w:bCs/>
                <w:color w:val="000000" w:themeColor="text1"/>
                <w:sz w:val="18"/>
                <w:szCs w:val="18"/>
              </w:rPr>
              <w:t>otaal</w:t>
            </w:r>
            <w:r>
              <w:rPr>
                <w:rFonts w:ascii="Verdana" w:hAnsi="Verdana" w:cs="Arial"/>
                <w:b/>
                <w:bCs/>
                <w:color w:val="000000" w:themeColor="text1"/>
                <w:sz w:val="18"/>
                <w:szCs w:val="18"/>
              </w:rPr>
              <w:t xml:space="preserve"> </w:t>
            </w:r>
            <w:r w:rsidR="00E37F8E">
              <w:rPr>
                <w:rFonts w:ascii="Verdana" w:hAnsi="Verdana" w:cs="Arial"/>
                <w:b/>
                <w:bCs/>
                <w:color w:val="000000" w:themeColor="text1"/>
                <w:sz w:val="18"/>
                <w:szCs w:val="18"/>
              </w:rPr>
              <w:t xml:space="preserve">vanuit het </w:t>
            </w:r>
            <w:r>
              <w:rPr>
                <w:rFonts w:ascii="Verdana" w:hAnsi="Verdana" w:cs="Arial"/>
                <w:b/>
                <w:bCs/>
                <w:color w:val="000000" w:themeColor="text1"/>
                <w:sz w:val="18"/>
                <w:szCs w:val="18"/>
              </w:rPr>
              <w:t>3% scenario</w:t>
            </w:r>
          </w:p>
        </w:tc>
        <w:tc>
          <w:tcPr>
            <w:tcW w:w="2913" w:type="dxa"/>
            <w:shd w:val="clear" w:color="auto" w:fill="FFC000"/>
          </w:tcPr>
          <w:p w14:paraId="621AACAB" w14:textId="29074774" w:rsidR="0077668B" w:rsidRPr="00475DB6" w:rsidRDefault="0077668B">
            <w:pPr>
              <w:rPr>
                <w:rFonts w:ascii="Verdana" w:eastAsia="Times New Roman" w:hAnsi="Verdana" w:cs="Segoe UI"/>
                <w:color w:val="000000" w:themeColor="text1"/>
                <w:kern w:val="0"/>
                <w:sz w:val="18"/>
                <w:szCs w:val="18"/>
                <w:lang w:eastAsia="nl-NL"/>
                <w14:ligatures w14:val="none"/>
              </w:rPr>
            </w:pPr>
          </w:p>
        </w:tc>
        <w:tc>
          <w:tcPr>
            <w:tcW w:w="1276" w:type="dxa"/>
            <w:shd w:val="clear" w:color="auto" w:fill="FFC000"/>
          </w:tcPr>
          <w:p w14:paraId="345F14FB" w14:textId="709691F0" w:rsidR="0077668B" w:rsidRPr="00475DB6" w:rsidRDefault="0085338A">
            <w:pPr>
              <w:rPr>
                <w:rFonts w:ascii="Verdana" w:hAnsi="Verdana"/>
                <w:b/>
                <w:bCs/>
                <w:sz w:val="18"/>
                <w:szCs w:val="18"/>
              </w:rPr>
            </w:pPr>
            <w:r w:rsidRPr="00475DB6">
              <w:rPr>
                <w:rFonts w:ascii="Verdana" w:hAnsi="Verdana"/>
                <w:b/>
                <w:bCs/>
                <w:sz w:val="18"/>
                <w:szCs w:val="18"/>
              </w:rPr>
              <w:t>596.000</w:t>
            </w:r>
          </w:p>
        </w:tc>
        <w:tc>
          <w:tcPr>
            <w:tcW w:w="1417" w:type="dxa"/>
            <w:shd w:val="clear" w:color="auto" w:fill="FFC000"/>
          </w:tcPr>
          <w:p w14:paraId="3EB4BA80" w14:textId="77777777" w:rsidR="0077668B" w:rsidRPr="00475DB6" w:rsidRDefault="0077668B">
            <w:pPr>
              <w:rPr>
                <w:rFonts w:ascii="Verdana" w:hAnsi="Verdana"/>
                <w:sz w:val="18"/>
                <w:szCs w:val="18"/>
              </w:rPr>
            </w:pPr>
          </w:p>
        </w:tc>
        <w:tc>
          <w:tcPr>
            <w:tcW w:w="4820" w:type="dxa"/>
            <w:shd w:val="clear" w:color="auto" w:fill="FFC000"/>
          </w:tcPr>
          <w:p w14:paraId="366387C2" w14:textId="4821E223" w:rsidR="0077668B" w:rsidRPr="00475DB6" w:rsidRDefault="0077668B">
            <w:pPr>
              <w:rPr>
                <w:rFonts w:ascii="Verdana" w:eastAsia="Times New Roman" w:hAnsi="Verdana" w:cs="Segoe UI"/>
                <w:kern w:val="0"/>
                <w:sz w:val="18"/>
                <w:szCs w:val="18"/>
                <w:lang w:eastAsia="nl-NL"/>
                <w14:ligatures w14:val="none"/>
              </w:rPr>
            </w:pPr>
          </w:p>
        </w:tc>
      </w:tr>
      <w:tr w:rsidR="00181BF9" w:rsidRPr="00475DB6" w14:paraId="3948D860" w14:textId="77777777" w:rsidTr="4181B624">
        <w:tc>
          <w:tcPr>
            <w:tcW w:w="845" w:type="dxa"/>
            <w:shd w:val="clear" w:color="auto" w:fill="FF0000"/>
          </w:tcPr>
          <w:p w14:paraId="6E2E14D3" w14:textId="77777777" w:rsidR="00181BF9" w:rsidRPr="00475DB6" w:rsidRDefault="00181BF9">
            <w:pPr>
              <w:rPr>
                <w:rFonts w:ascii="Verdana" w:hAnsi="Verdana"/>
                <w:sz w:val="18"/>
                <w:szCs w:val="18"/>
              </w:rPr>
            </w:pPr>
            <w:r w:rsidRPr="00475DB6">
              <w:rPr>
                <w:rFonts w:ascii="Verdana" w:hAnsi="Verdana"/>
                <w:sz w:val="18"/>
                <w:szCs w:val="18"/>
              </w:rPr>
              <w:t>9</w:t>
            </w:r>
          </w:p>
        </w:tc>
        <w:tc>
          <w:tcPr>
            <w:tcW w:w="3750" w:type="dxa"/>
            <w:shd w:val="clear" w:color="auto" w:fill="FF0000"/>
          </w:tcPr>
          <w:p w14:paraId="78E1DECE" w14:textId="77777777" w:rsidR="00181BF9" w:rsidRPr="00475DB6" w:rsidRDefault="00181BF9">
            <w:pPr>
              <w:rPr>
                <w:rFonts w:ascii="Verdana" w:hAnsi="Verdana"/>
                <w:sz w:val="18"/>
                <w:szCs w:val="18"/>
              </w:rPr>
            </w:pPr>
            <w:r w:rsidRPr="00475DB6">
              <w:rPr>
                <w:rFonts w:ascii="Verdana" w:hAnsi="Verdana" w:cs="Arial"/>
                <w:sz w:val="18"/>
                <w:szCs w:val="18"/>
              </w:rPr>
              <w:t>Controle frequentie naar beneden i.c.m. lagere administratieve handelingen</w:t>
            </w:r>
          </w:p>
        </w:tc>
        <w:tc>
          <w:tcPr>
            <w:tcW w:w="2913" w:type="dxa"/>
          </w:tcPr>
          <w:p w14:paraId="0C2D844B" w14:textId="54DB36F2" w:rsidR="00181BF9" w:rsidRPr="00475DB6" w:rsidRDefault="00147EF1">
            <w:pPr>
              <w:rPr>
                <w:rFonts w:ascii="Verdana" w:hAnsi="Verdana"/>
                <w:sz w:val="18"/>
                <w:szCs w:val="18"/>
                <w:highlight w:val="yellow"/>
              </w:rPr>
            </w:pPr>
            <w:r w:rsidRPr="00475DB6">
              <w:rPr>
                <w:rFonts w:ascii="Verdana" w:eastAsia="Times New Roman" w:hAnsi="Verdana" w:cs="Segoe UI"/>
                <w:kern w:val="0"/>
                <w:sz w:val="18"/>
                <w:szCs w:val="18"/>
                <w:lang w:eastAsia="nl-NL"/>
                <w14:ligatures w14:val="none"/>
              </w:rPr>
              <w:t>Het minder vaak controleren van bedrijven kan resulteren van een lager naleefgedrag en dus een hogere kans op overtredingen. Deze overtredingen kunnen in meer of mindere mate gevolgen hebben voor de leefomgeving.</w:t>
            </w:r>
          </w:p>
        </w:tc>
        <w:tc>
          <w:tcPr>
            <w:tcW w:w="1276" w:type="dxa"/>
            <w:shd w:val="clear" w:color="auto" w:fill="auto"/>
          </w:tcPr>
          <w:p w14:paraId="4938E3AC" w14:textId="77777777" w:rsidR="00181BF9" w:rsidRPr="00475DB6" w:rsidRDefault="00181BF9">
            <w:pPr>
              <w:rPr>
                <w:rFonts w:ascii="Verdana" w:hAnsi="Verdana"/>
                <w:sz w:val="18"/>
                <w:szCs w:val="18"/>
                <w:highlight w:val="yellow"/>
              </w:rPr>
            </w:pPr>
            <w:r w:rsidRPr="00475DB6">
              <w:rPr>
                <w:rFonts w:ascii="Verdana" w:hAnsi="Verdana"/>
                <w:sz w:val="18"/>
                <w:szCs w:val="18"/>
              </w:rPr>
              <w:t>86.000</w:t>
            </w:r>
          </w:p>
        </w:tc>
        <w:tc>
          <w:tcPr>
            <w:tcW w:w="1417" w:type="dxa"/>
          </w:tcPr>
          <w:p w14:paraId="268320B1" w14:textId="77777777" w:rsidR="00181BF9" w:rsidRPr="00475DB6" w:rsidRDefault="00181BF9">
            <w:pPr>
              <w:rPr>
                <w:rFonts w:ascii="Verdana" w:hAnsi="Verdana"/>
                <w:sz w:val="18"/>
                <w:szCs w:val="18"/>
                <w:highlight w:val="yellow"/>
              </w:rPr>
            </w:pPr>
            <w:r w:rsidRPr="00475DB6">
              <w:rPr>
                <w:rFonts w:ascii="Verdana" w:hAnsi="Verdana"/>
                <w:sz w:val="18"/>
                <w:szCs w:val="18"/>
              </w:rPr>
              <w:t>Ja</w:t>
            </w:r>
          </w:p>
        </w:tc>
        <w:tc>
          <w:tcPr>
            <w:tcW w:w="4820" w:type="dxa"/>
          </w:tcPr>
          <w:p w14:paraId="3BD821AA" w14:textId="269C9C7A" w:rsidR="00FE209D" w:rsidRPr="00475DB6" w:rsidRDefault="00A03E50">
            <w:pPr>
              <w:rPr>
                <w:rFonts w:ascii="Verdana" w:hAnsi="Verdana" w:cs="Arial"/>
                <w:sz w:val="18"/>
                <w:szCs w:val="18"/>
                <w:highlight w:val="yellow"/>
              </w:rPr>
            </w:pPr>
            <w:r w:rsidRPr="00475DB6">
              <w:rPr>
                <w:rFonts w:ascii="Verdana" w:eastAsia="Times New Roman" w:hAnsi="Verdana" w:cs="Segoe UI"/>
                <w:kern w:val="0"/>
                <w:sz w:val="18"/>
                <w:szCs w:val="18"/>
                <w:lang w:eastAsia="nl-NL"/>
                <w14:ligatures w14:val="none"/>
              </w:rPr>
              <w:t>Risico op meer en langdurigere overtredingen. Grotere kans op meldingen overlast en verzoeken om handhaving</w:t>
            </w:r>
            <w:r w:rsidR="005C481D" w:rsidRPr="00475DB6">
              <w:rPr>
                <w:rFonts w:ascii="Verdana" w:eastAsia="Times New Roman" w:hAnsi="Verdana" w:cs="Segoe UI"/>
                <w:kern w:val="0"/>
                <w:sz w:val="18"/>
                <w:szCs w:val="18"/>
                <w:lang w:eastAsia="nl-NL"/>
                <w14:ligatures w14:val="none"/>
              </w:rPr>
              <w:t xml:space="preserve"> </w:t>
            </w:r>
            <w:r w:rsidR="00181BF9" w:rsidRPr="00475DB6">
              <w:rPr>
                <w:rFonts w:ascii="Verdana" w:hAnsi="Verdana" w:cs="Arial"/>
                <w:sz w:val="18"/>
                <w:szCs w:val="18"/>
              </w:rPr>
              <w:t>waardoor besparing niet gerealiseerd wordt. Gemeenten hebben taken in de lumpsum opgenomen. Hierdoor zijn de uittredingsregels mogelijk van toepassingen en zijn de besparingen niet direct te verzilveren. Nadere uitwerking bij gewenste invoering is noodzakelijk.</w:t>
            </w:r>
          </w:p>
          <w:p w14:paraId="0F89ECA9" w14:textId="77777777" w:rsidR="00FE209D" w:rsidRPr="00475DB6" w:rsidRDefault="00FE209D">
            <w:pPr>
              <w:rPr>
                <w:rFonts w:ascii="Verdana" w:hAnsi="Verdana" w:cs="Arial"/>
                <w:sz w:val="18"/>
                <w:szCs w:val="18"/>
                <w:highlight w:val="yellow"/>
              </w:rPr>
            </w:pPr>
          </w:p>
        </w:tc>
      </w:tr>
      <w:tr w:rsidR="00181BF9" w:rsidRPr="00475DB6" w14:paraId="69E61AA5" w14:textId="77777777" w:rsidTr="4181B624">
        <w:trPr>
          <w:trHeight w:val="2246"/>
        </w:trPr>
        <w:tc>
          <w:tcPr>
            <w:tcW w:w="845" w:type="dxa"/>
            <w:shd w:val="clear" w:color="auto" w:fill="FF0000"/>
          </w:tcPr>
          <w:p w14:paraId="3AA1B191" w14:textId="77777777" w:rsidR="00181BF9" w:rsidRPr="00475DB6" w:rsidRDefault="00181BF9">
            <w:pPr>
              <w:rPr>
                <w:rFonts w:ascii="Verdana" w:hAnsi="Verdana"/>
                <w:sz w:val="18"/>
                <w:szCs w:val="18"/>
              </w:rPr>
            </w:pPr>
            <w:r w:rsidRPr="00475DB6">
              <w:rPr>
                <w:rFonts w:ascii="Verdana" w:hAnsi="Verdana"/>
                <w:sz w:val="18"/>
                <w:szCs w:val="18"/>
              </w:rPr>
              <w:t>10</w:t>
            </w:r>
          </w:p>
        </w:tc>
        <w:tc>
          <w:tcPr>
            <w:tcW w:w="3750" w:type="dxa"/>
            <w:shd w:val="clear" w:color="auto" w:fill="FF0000"/>
          </w:tcPr>
          <w:p w14:paraId="6825E795" w14:textId="694B013E" w:rsidR="00181BF9" w:rsidRPr="00475DB6" w:rsidRDefault="010511DA">
            <w:pPr>
              <w:rPr>
                <w:rFonts w:ascii="Verdana" w:hAnsi="Verdana"/>
                <w:sz w:val="18"/>
                <w:szCs w:val="18"/>
              </w:rPr>
            </w:pPr>
            <w:r w:rsidRPr="4181B624">
              <w:rPr>
                <w:rFonts w:ascii="Verdana" w:hAnsi="Verdana"/>
                <w:sz w:val="18"/>
                <w:szCs w:val="18"/>
              </w:rPr>
              <w:t>Terugbrengen adviestaken</w:t>
            </w:r>
            <w:r w:rsidR="4E8D23FD" w:rsidRPr="4181B624">
              <w:rPr>
                <w:rFonts w:ascii="Verdana" w:hAnsi="Verdana"/>
                <w:sz w:val="18"/>
                <w:szCs w:val="18"/>
              </w:rPr>
              <w:t xml:space="preserve">  </w:t>
            </w:r>
          </w:p>
        </w:tc>
        <w:tc>
          <w:tcPr>
            <w:tcW w:w="2913" w:type="dxa"/>
          </w:tcPr>
          <w:p w14:paraId="5BA435E9" w14:textId="6DB23E25" w:rsidR="00181BF9" w:rsidRPr="00475DB6" w:rsidRDefault="32D25521" w:rsidP="1AD7CBF7">
            <w:pPr>
              <w:rPr>
                <w:rFonts w:ascii="Verdana" w:hAnsi="Verdana"/>
                <w:sz w:val="18"/>
                <w:szCs w:val="18"/>
                <w:highlight w:val="yellow"/>
              </w:rPr>
            </w:pPr>
            <w:r w:rsidRPr="00475DB6">
              <w:rPr>
                <w:rFonts w:ascii="Verdana" w:eastAsia="Times New Roman" w:hAnsi="Verdana" w:cs="Segoe UI"/>
                <w:kern w:val="0"/>
                <w:sz w:val="18"/>
                <w:szCs w:val="18"/>
                <w:lang w:eastAsia="nl-NL"/>
                <w14:ligatures w14:val="none"/>
              </w:rPr>
              <w:t xml:space="preserve">Geen advisering </w:t>
            </w:r>
            <w:proofErr w:type="spellStart"/>
            <w:r w:rsidRPr="00475DB6">
              <w:rPr>
                <w:rFonts w:ascii="Verdana" w:eastAsia="Times New Roman" w:hAnsi="Verdana" w:cs="Segoe UI"/>
                <w:kern w:val="0"/>
                <w:sz w:val="18"/>
                <w:szCs w:val="18"/>
                <w:lang w:eastAsia="nl-NL"/>
                <w14:ligatures w14:val="none"/>
              </w:rPr>
              <w:t>mbt</w:t>
            </w:r>
            <w:proofErr w:type="spellEnd"/>
            <w:r w:rsidRPr="00475DB6">
              <w:rPr>
                <w:rFonts w:ascii="Verdana" w:eastAsia="Times New Roman" w:hAnsi="Verdana" w:cs="Segoe UI"/>
                <w:kern w:val="0"/>
                <w:sz w:val="18"/>
                <w:szCs w:val="18"/>
                <w:lang w:eastAsia="nl-NL"/>
                <w14:ligatures w14:val="none"/>
              </w:rPr>
              <w:t xml:space="preserve"> ontwikkeling omgevingsvisie, omgevingsplannen</w:t>
            </w:r>
            <w:r w:rsidR="183A337B" w:rsidRPr="00475DB6">
              <w:rPr>
                <w:rFonts w:ascii="Verdana" w:eastAsia="Times New Roman" w:hAnsi="Verdana" w:cs="Segoe UI"/>
                <w:kern w:val="0"/>
                <w:sz w:val="18"/>
                <w:szCs w:val="18"/>
                <w:lang w:eastAsia="nl-NL"/>
                <w14:ligatures w14:val="none"/>
              </w:rPr>
              <w:t>,</w:t>
            </w:r>
            <w:r w:rsidRPr="00475DB6">
              <w:rPr>
                <w:rFonts w:ascii="Verdana" w:eastAsia="Times New Roman" w:hAnsi="Verdana" w:cs="Segoe UI"/>
                <w:kern w:val="0"/>
                <w:sz w:val="18"/>
                <w:szCs w:val="18"/>
                <w:lang w:eastAsia="nl-NL"/>
                <w14:ligatures w14:val="none"/>
              </w:rPr>
              <w:t xml:space="preserve"> ontwikkelgebieden</w:t>
            </w:r>
            <w:r w:rsidR="42456C87" w:rsidRPr="00475DB6">
              <w:rPr>
                <w:rFonts w:ascii="Verdana" w:eastAsia="Times New Roman" w:hAnsi="Verdana" w:cs="Segoe UI"/>
                <w:kern w:val="0"/>
                <w:sz w:val="18"/>
                <w:szCs w:val="18"/>
                <w:lang w:eastAsia="nl-NL"/>
                <w14:ligatures w14:val="none"/>
              </w:rPr>
              <w:t xml:space="preserve"> en geen aanlevering omgevingsscan</w:t>
            </w:r>
          </w:p>
          <w:p w14:paraId="11322C27" w14:textId="70B1D63F" w:rsidR="00181BF9" w:rsidRPr="00475DB6" w:rsidRDefault="1D61DE7A" w:rsidP="1AD7CBF7">
            <w:pPr>
              <w:rPr>
                <w:rFonts w:ascii="Verdana" w:eastAsia="Times New Roman" w:hAnsi="Verdana" w:cs="Segoe UI"/>
                <w:sz w:val="18"/>
                <w:szCs w:val="18"/>
                <w:lang w:eastAsia="nl-NL"/>
              </w:rPr>
            </w:pPr>
            <w:r w:rsidRPr="00475DB6">
              <w:rPr>
                <w:rFonts w:ascii="Verdana" w:eastAsia="Times New Roman" w:hAnsi="Verdana" w:cs="Segoe UI"/>
                <w:sz w:val="18"/>
                <w:szCs w:val="18"/>
                <w:lang w:eastAsia="nl-NL"/>
              </w:rPr>
              <w:t>(excl.(B)OPA advisering)</w:t>
            </w:r>
          </w:p>
        </w:tc>
        <w:tc>
          <w:tcPr>
            <w:tcW w:w="1276" w:type="dxa"/>
            <w:shd w:val="clear" w:color="auto" w:fill="auto"/>
          </w:tcPr>
          <w:p w14:paraId="4CD492A8" w14:textId="77777777" w:rsidR="00181BF9" w:rsidRPr="00475DB6" w:rsidRDefault="00181BF9">
            <w:pPr>
              <w:rPr>
                <w:rFonts w:ascii="Verdana" w:hAnsi="Verdana"/>
                <w:sz w:val="18"/>
                <w:szCs w:val="18"/>
                <w:highlight w:val="yellow"/>
              </w:rPr>
            </w:pPr>
            <w:r w:rsidRPr="00475DB6">
              <w:rPr>
                <w:rFonts w:ascii="Verdana" w:hAnsi="Verdana"/>
                <w:sz w:val="18"/>
                <w:szCs w:val="18"/>
              </w:rPr>
              <w:t>200.000</w:t>
            </w:r>
          </w:p>
        </w:tc>
        <w:tc>
          <w:tcPr>
            <w:tcW w:w="1417" w:type="dxa"/>
            <w:shd w:val="clear" w:color="auto" w:fill="auto"/>
          </w:tcPr>
          <w:p w14:paraId="120B239B" w14:textId="77777777" w:rsidR="00181BF9" w:rsidRPr="00475DB6" w:rsidRDefault="00181BF9">
            <w:pPr>
              <w:rPr>
                <w:rFonts w:ascii="Verdana" w:hAnsi="Verdana"/>
                <w:sz w:val="18"/>
                <w:szCs w:val="18"/>
                <w:highlight w:val="yellow"/>
              </w:rPr>
            </w:pPr>
            <w:r w:rsidRPr="00475DB6">
              <w:rPr>
                <w:rFonts w:ascii="Verdana" w:hAnsi="Verdana"/>
                <w:sz w:val="18"/>
                <w:szCs w:val="18"/>
              </w:rPr>
              <w:t>Ja</w:t>
            </w:r>
          </w:p>
        </w:tc>
        <w:tc>
          <w:tcPr>
            <w:tcW w:w="4820" w:type="dxa"/>
          </w:tcPr>
          <w:p w14:paraId="5061AC5A" w14:textId="77777777" w:rsidR="00181BF9" w:rsidRPr="00475DB6" w:rsidRDefault="00181BF9">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 xml:space="preserve">De gemeenten lopen het risico dat een initiatief vertraging oploopt tijdens de vergunningaanvraag omdat voorafgaand aan de aanvraag gebieds- en deskundigheids-specifieke aspecten in het voortraject niet zijn meegenomen. </w:t>
            </w:r>
          </w:p>
          <w:p w14:paraId="4E1DD7A1" w14:textId="77777777" w:rsidR="00181BF9" w:rsidRPr="00475DB6" w:rsidRDefault="00181BF9">
            <w:pPr>
              <w:textAlignment w:val="baseline"/>
              <w:rPr>
                <w:rFonts w:ascii="Verdana" w:eastAsia="Times New Roman" w:hAnsi="Verdana" w:cs="Segoe UI"/>
                <w:kern w:val="0"/>
                <w:sz w:val="18"/>
                <w:szCs w:val="18"/>
                <w:lang w:eastAsia="nl-NL"/>
                <w14:ligatures w14:val="none"/>
              </w:rPr>
            </w:pPr>
            <w:r w:rsidRPr="00475DB6">
              <w:rPr>
                <w:rFonts w:ascii="Verdana" w:eastAsia="Times New Roman" w:hAnsi="Verdana" w:cs="Segoe UI"/>
                <w:kern w:val="0"/>
                <w:sz w:val="18"/>
                <w:szCs w:val="18"/>
                <w:lang w:eastAsia="nl-NL"/>
                <w14:ligatures w14:val="none"/>
              </w:rPr>
              <w:t>Dit kan kostenverhogend werken wanneer hiermee bij gemeenten een grotere afhankelijkheid ontstaat van commerciële adviesbureaus.</w:t>
            </w:r>
          </w:p>
        </w:tc>
      </w:tr>
      <w:tr w:rsidR="00181BF9" w:rsidRPr="00475DB6" w14:paraId="7B849E5A" w14:textId="77777777" w:rsidTr="4181B624">
        <w:tc>
          <w:tcPr>
            <w:tcW w:w="845" w:type="dxa"/>
            <w:shd w:val="clear" w:color="auto" w:fill="FF0000"/>
          </w:tcPr>
          <w:p w14:paraId="3B992002" w14:textId="77777777" w:rsidR="00181BF9" w:rsidRPr="00475DB6" w:rsidRDefault="00181BF9">
            <w:pPr>
              <w:rPr>
                <w:rFonts w:ascii="Verdana" w:hAnsi="Verdana"/>
                <w:sz w:val="18"/>
                <w:szCs w:val="18"/>
              </w:rPr>
            </w:pPr>
            <w:r w:rsidRPr="00475DB6">
              <w:rPr>
                <w:rFonts w:ascii="Verdana" w:hAnsi="Verdana"/>
                <w:sz w:val="18"/>
                <w:szCs w:val="18"/>
              </w:rPr>
              <w:t>11</w:t>
            </w:r>
          </w:p>
        </w:tc>
        <w:tc>
          <w:tcPr>
            <w:tcW w:w="3750" w:type="dxa"/>
            <w:shd w:val="clear" w:color="auto" w:fill="FF0000"/>
          </w:tcPr>
          <w:p w14:paraId="7C6DAE10" w14:textId="77777777" w:rsidR="00181BF9" w:rsidRPr="00475DB6" w:rsidRDefault="00181BF9">
            <w:pPr>
              <w:rPr>
                <w:rFonts w:ascii="Verdana" w:hAnsi="Verdana"/>
                <w:sz w:val="18"/>
                <w:szCs w:val="18"/>
              </w:rPr>
            </w:pPr>
            <w:r w:rsidRPr="00475DB6">
              <w:rPr>
                <w:rFonts w:ascii="Verdana" w:hAnsi="Verdana" w:cs="Arial"/>
                <w:color w:val="000000" w:themeColor="text1"/>
                <w:sz w:val="18"/>
                <w:szCs w:val="18"/>
              </w:rPr>
              <w:t>Overdragen beheer archief</w:t>
            </w:r>
          </w:p>
        </w:tc>
        <w:tc>
          <w:tcPr>
            <w:tcW w:w="2913" w:type="dxa"/>
            <w:shd w:val="clear" w:color="auto" w:fill="auto"/>
          </w:tcPr>
          <w:p w14:paraId="16BB84A4" w14:textId="77777777" w:rsidR="00181BF9" w:rsidRPr="00475DB6" w:rsidRDefault="00181BF9">
            <w:pPr>
              <w:rPr>
                <w:rFonts w:ascii="Verdana" w:hAnsi="Verdana"/>
                <w:sz w:val="18"/>
                <w:szCs w:val="18"/>
              </w:rPr>
            </w:pPr>
            <w:r w:rsidRPr="00475DB6">
              <w:rPr>
                <w:rFonts w:ascii="Verdana" w:hAnsi="Verdana" w:cs="Arial"/>
                <w:sz w:val="18"/>
                <w:szCs w:val="18"/>
              </w:rPr>
              <w:t>Risico op niet naleven van de archiefwet. Geen directe toegang meer tot het archief voor gemeenten en provincie waardoor uitvoering van taak mogelijk inefficiënt en ineffectief uitgevoerd kan worden.</w:t>
            </w:r>
          </w:p>
        </w:tc>
        <w:tc>
          <w:tcPr>
            <w:tcW w:w="1276" w:type="dxa"/>
            <w:shd w:val="clear" w:color="auto" w:fill="auto"/>
          </w:tcPr>
          <w:p w14:paraId="32DC3F8D" w14:textId="77777777" w:rsidR="00181BF9" w:rsidRPr="00475DB6" w:rsidRDefault="00181BF9">
            <w:pPr>
              <w:rPr>
                <w:rFonts w:ascii="Verdana" w:hAnsi="Verdana"/>
                <w:sz w:val="18"/>
                <w:szCs w:val="18"/>
              </w:rPr>
            </w:pPr>
            <w:r w:rsidRPr="00475DB6">
              <w:rPr>
                <w:rFonts w:ascii="Verdana" w:hAnsi="Verdana"/>
                <w:sz w:val="18"/>
                <w:szCs w:val="18"/>
              </w:rPr>
              <w:t>110.000</w:t>
            </w:r>
          </w:p>
        </w:tc>
        <w:tc>
          <w:tcPr>
            <w:tcW w:w="1417" w:type="dxa"/>
          </w:tcPr>
          <w:p w14:paraId="467ED200" w14:textId="77777777" w:rsidR="00181BF9" w:rsidRPr="00475DB6" w:rsidRDefault="00181BF9">
            <w:pPr>
              <w:rPr>
                <w:rFonts w:ascii="Verdana" w:hAnsi="Verdana"/>
                <w:sz w:val="18"/>
                <w:szCs w:val="18"/>
              </w:rPr>
            </w:pPr>
            <w:r w:rsidRPr="00475DB6">
              <w:rPr>
                <w:rFonts w:ascii="Verdana" w:hAnsi="Verdana"/>
                <w:sz w:val="18"/>
                <w:szCs w:val="18"/>
              </w:rPr>
              <w:t>Ja</w:t>
            </w:r>
          </w:p>
        </w:tc>
        <w:tc>
          <w:tcPr>
            <w:tcW w:w="4820" w:type="dxa"/>
          </w:tcPr>
          <w:p w14:paraId="0A4B124F" w14:textId="77777777" w:rsidR="00181BF9" w:rsidRPr="00475DB6" w:rsidRDefault="00181BF9">
            <w:pPr>
              <w:rPr>
                <w:rFonts w:ascii="Verdana" w:hAnsi="Verdana"/>
                <w:sz w:val="18"/>
                <w:szCs w:val="18"/>
                <w:u w:val="single"/>
              </w:rPr>
            </w:pPr>
            <w:r w:rsidRPr="00475DB6">
              <w:rPr>
                <w:rFonts w:ascii="Verdana" w:hAnsi="Verdana"/>
                <w:sz w:val="18"/>
                <w:szCs w:val="18"/>
                <w:u w:val="single"/>
              </w:rPr>
              <w:t>1. Kostenverhoging voor opdrachtgevers</w:t>
            </w:r>
          </w:p>
          <w:p w14:paraId="7D0A1F09" w14:textId="77777777" w:rsidR="00181BF9" w:rsidRPr="00475DB6" w:rsidRDefault="00181BF9">
            <w:pPr>
              <w:rPr>
                <w:rFonts w:ascii="Verdana" w:hAnsi="Verdana"/>
                <w:sz w:val="18"/>
                <w:szCs w:val="18"/>
              </w:rPr>
            </w:pPr>
            <w:r w:rsidRPr="00475DB6">
              <w:rPr>
                <w:rFonts w:ascii="Verdana" w:hAnsi="Verdana"/>
                <w:sz w:val="18"/>
                <w:szCs w:val="18"/>
              </w:rPr>
              <w:t>De overdracht kan leiden tot hogere structurele kosten voor gemeenten, zeker wanneer de taak niet binnen de bestaande formatie kan worden opgevangen. Gemeenten moeten óf nieuwe medewerkers aannemen (vaak tegen hogere loonkosten per fte) óf externe partijen inhuren, wat doorgaans prijziger is. Door verlies van het schaalvoordeel dat OD NHN nu biedt, stijgen de kosten per deelnemer, vooral voor kleinere gemeenten.</w:t>
            </w:r>
          </w:p>
          <w:p w14:paraId="0855A145" w14:textId="77777777" w:rsidR="00181BF9" w:rsidRPr="00475DB6" w:rsidRDefault="00181BF9">
            <w:pPr>
              <w:rPr>
                <w:rFonts w:ascii="Verdana" w:hAnsi="Verdana"/>
                <w:b/>
                <w:bCs/>
                <w:sz w:val="18"/>
                <w:szCs w:val="18"/>
              </w:rPr>
            </w:pPr>
          </w:p>
          <w:p w14:paraId="5818976D" w14:textId="77777777" w:rsidR="00181BF9" w:rsidRPr="00475DB6" w:rsidRDefault="00181BF9">
            <w:pPr>
              <w:rPr>
                <w:rFonts w:ascii="Verdana" w:hAnsi="Verdana"/>
                <w:sz w:val="18"/>
                <w:szCs w:val="18"/>
              </w:rPr>
            </w:pPr>
            <w:r w:rsidRPr="00475DB6">
              <w:rPr>
                <w:rFonts w:ascii="Verdana" w:hAnsi="Verdana"/>
                <w:b/>
                <w:bCs/>
                <w:sz w:val="18"/>
                <w:szCs w:val="18"/>
              </w:rPr>
              <w:t>Belangrijk om te benadrukken is dat ook de provincie</w:t>
            </w:r>
            <w:r w:rsidRPr="00475DB6">
              <w:rPr>
                <w:rFonts w:ascii="Verdana" w:hAnsi="Verdana"/>
                <w:sz w:val="18"/>
                <w:szCs w:val="18"/>
              </w:rPr>
              <w:t xml:space="preserve"> hierdoor direct geraakt wordt: bij overdracht naar gemeenten vervalt de archiefbeheerfunctie bij OD NHN volledig, waardoor de provincie haar huidige oplossing voor archiefbeheer verliest en geen gebruik meer kan maken van het collectieve voordeel. De genoemde risico’s zijn hiermee ook van toepassing voor provincie.</w:t>
            </w:r>
          </w:p>
          <w:p w14:paraId="427615C0" w14:textId="77777777" w:rsidR="00181BF9" w:rsidRPr="00475DB6" w:rsidRDefault="00181BF9">
            <w:pPr>
              <w:rPr>
                <w:rFonts w:ascii="Verdana" w:hAnsi="Verdana"/>
                <w:sz w:val="18"/>
                <w:szCs w:val="18"/>
              </w:rPr>
            </w:pPr>
          </w:p>
          <w:p w14:paraId="472D48D5" w14:textId="77777777" w:rsidR="00181BF9" w:rsidRPr="00475DB6" w:rsidRDefault="00181BF9">
            <w:pPr>
              <w:rPr>
                <w:rFonts w:ascii="Verdana" w:hAnsi="Verdana"/>
                <w:sz w:val="18"/>
                <w:szCs w:val="18"/>
                <w:u w:val="single"/>
              </w:rPr>
            </w:pPr>
            <w:r w:rsidRPr="00475DB6">
              <w:rPr>
                <w:rFonts w:ascii="Verdana" w:hAnsi="Verdana"/>
                <w:sz w:val="18"/>
                <w:szCs w:val="18"/>
                <w:u w:val="single"/>
              </w:rPr>
              <w:t>2. Risico op niet-naleving Archiefwet</w:t>
            </w:r>
          </w:p>
          <w:p w14:paraId="2F4FE44E" w14:textId="77777777" w:rsidR="00181BF9" w:rsidRPr="00475DB6" w:rsidRDefault="00181BF9">
            <w:pPr>
              <w:rPr>
                <w:rFonts w:ascii="Verdana" w:hAnsi="Verdana"/>
                <w:sz w:val="18"/>
                <w:szCs w:val="18"/>
              </w:rPr>
            </w:pPr>
            <w:r w:rsidRPr="00475DB6">
              <w:rPr>
                <w:rFonts w:ascii="Verdana" w:hAnsi="Verdana"/>
                <w:sz w:val="18"/>
                <w:szCs w:val="18"/>
              </w:rPr>
              <w:t>Er is verhoogde kans op niet-naleving van de archiefwet als gemeenten geen goed alternatief hebben. Dit vergroot het risico op juridische en bestuurlijke kwetsbaarheid door onvolledig of onjuist archiefbeheer.</w:t>
            </w:r>
          </w:p>
          <w:p w14:paraId="26F63E68" w14:textId="77777777" w:rsidR="00181BF9" w:rsidRPr="00475DB6" w:rsidRDefault="00181BF9">
            <w:pPr>
              <w:rPr>
                <w:rFonts w:ascii="Verdana" w:hAnsi="Verdana"/>
                <w:sz w:val="18"/>
                <w:szCs w:val="18"/>
              </w:rPr>
            </w:pPr>
          </w:p>
          <w:p w14:paraId="4FC4ECDA" w14:textId="77777777" w:rsidR="00181BF9" w:rsidRPr="00475DB6" w:rsidRDefault="00181BF9">
            <w:pPr>
              <w:rPr>
                <w:rFonts w:ascii="Verdana" w:hAnsi="Verdana"/>
                <w:sz w:val="18"/>
                <w:szCs w:val="18"/>
              </w:rPr>
            </w:pPr>
          </w:p>
          <w:p w14:paraId="50BF5590" w14:textId="77777777" w:rsidR="00181BF9" w:rsidRPr="00475DB6" w:rsidRDefault="00181BF9">
            <w:pPr>
              <w:rPr>
                <w:rFonts w:ascii="Verdana" w:hAnsi="Verdana"/>
                <w:sz w:val="18"/>
                <w:szCs w:val="18"/>
              </w:rPr>
            </w:pPr>
            <w:r w:rsidRPr="00475DB6">
              <w:rPr>
                <w:rFonts w:ascii="Verdana" w:hAnsi="Verdana"/>
                <w:sz w:val="18"/>
                <w:szCs w:val="18"/>
              </w:rPr>
              <w:t xml:space="preserve">3. </w:t>
            </w:r>
            <w:r w:rsidRPr="00475DB6">
              <w:rPr>
                <w:rFonts w:ascii="Verdana" w:hAnsi="Verdana"/>
                <w:sz w:val="18"/>
                <w:szCs w:val="18"/>
                <w:u w:val="single"/>
              </w:rPr>
              <w:t>Verlies van OD NHN als kenniscentrum</w:t>
            </w:r>
          </w:p>
          <w:p w14:paraId="57426481" w14:textId="77777777" w:rsidR="00181BF9" w:rsidRPr="00475DB6" w:rsidRDefault="00181BF9">
            <w:pPr>
              <w:rPr>
                <w:rFonts w:ascii="Verdana" w:hAnsi="Verdana"/>
                <w:sz w:val="18"/>
                <w:szCs w:val="18"/>
              </w:rPr>
            </w:pPr>
            <w:r w:rsidRPr="00475DB6">
              <w:rPr>
                <w:rFonts w:ascii="Verdana" w:hAnsi="Verdana"/>
                <w:sz w:val="18"/>
                <w:szCs w:val="18"/>
              </w:rPr>
              <w:t>OD NHN verliest haar rol als regionaal specialistisch kenniscentrum voor archiefbeheer. Dit betekent verlies van opgebouwde kennis, ervaring en kwaliteit op dit terrein.</w:t>
            </w:r>
          </w:p>
          <w:p w14:paraId="291697FC" w14:textId="77777777" w:rsidR="00181BF9" w:rsidRPr="00475DB6" w:rsidRDefault="00181BF9">
            <w:pPr>
              <w:rPr>
                <w:rFonts w:ascii="Verdana" w:hAnsi="Verdana"/>
                <w:sz w:val="18"/>
                <w:szCs w:val="18"/>
              </w:rPr>
            </w:pPr>
            <w:r w:rsidRPr="00475DB6">
              <w:rPr>
                <w:rFonts w:ascii="Verdana" w:hAnsi="Verdana"/>
                <w:sz w:val="18"/>
                <w:szCs w:val="18"/>
              </w:rPr>
              <w:t>De regio raakt hierdoor een belangrijke schakel kwijt in het behouden van eenduidige en kwalitatief hoogwaardige informatievoorziening.</w:t>
            </w:r>
          </w:p>
          <w:p w14:paraId="62D16055" w14:textId="77777777" w:rsidR="00181BF9" w:rsidRPr="00475DB6" w:rsidRDefault="00181BF9">
            <w:pPr>
              <w:rPr>
                <w:rFonts w:ascii="Verdana" w:hAnsi="Verdana"/>
                <w:sz w:val="18"/>
                <w:szCs w:val="18"/>
              </w:rPr>
            </w:pPr>
          </w:p>
          <w:p w14:paraId="15698927" w14:textId="77777777" w:rsidR="00181BF9" w:rsidRPr="00475DB6" w:rsidRDefault="00181BF9">
            <w:pPr>
              <w:rPr>
                <w:rFonts w:ascii="Verdana" w:hAnsi="Verdana"/>
                <w:sz w:val="18"/>
                <w:szCs w:val="18"/>
                <w:u w:val="single"/>
              </w:rPr>
            </w:pPr>
            <w:r w:rsidRPr="00475DB6">
              <w:rPr>
                <w:rFonts w:ascii="Verdana" w:hAnsi="Verdana"/>
                <w:sz w:val="18"/>
                <w:szCs w:val="18"/>
                <w:u w:val="single"/>
              </w:rPr>
              <w:t>4. Impact op samenwerking en informatiestromen</w:t>
            </w:r>
          </w:p>
          <w:p w14:paraId="0CBF62B4" w14:textId="77777777" w:rsidR="00181BF9" w:rsidRPr="00475DB6" w:rsidRDefault="00181BF9">
            <w:pPr>
              <w:rPr>
                <w:rFonts w:ascii="Verdana" w:hAnsi="Verdana"/>
                <w:sz w:val="18"/>
                <w:szCs w:val="18"/>
              </w:rPr>
            </w:pPr>
            <w:r w:rsidRPr="00475DB6">
              <w:rPr>
                <w:rFonts w:ascii="Verdana" w:hAnsi="Verdana"/>
                <w:sz w:val="18"/>
                <w:szCs w:val="18"/>
              </w:rPr>
              <w:t xml:space="preserve">Bij overdracht moeten de werkprocessen tussen OD NHN en gemeenten/provincie volledig opnieuw worden ingericht zoals overdracht van documenten, documentenbeheer, opvragen en het leveren van de informatie/documenten  aan de  OD NHN om de taken te kunnen uitvoeren. </w:t>
            </w:r>
          </w:p>
          <w:p w14:paraId="253A5C73" w14:textId="77777777" w:rsidR="00181BF9" w:rsidRPr="00475DB6" w:rsidRDefault="00181BF9">
            <w:pPr>
              <w:rPr>
                <w:rFonts w:ascii="Verdana" w:hAnsi="Verdana"/>
                <w:sz w:val="18"/>
                <w:szCs w:val="18"/>
              </w:rPr>
            </w:pPr>
            <w:r w:rsidRPr="00475DB6">
              <w:rPr>
                <w:rFonts w:ascii="Verdana" w:hAnsi="Verdana"/>
                <w:sz w:val="18"/>
                <w:szCs w:val="18"/>
              </w:rPr>
              <w:t>Dit leidt tot onnodige complexiteit, onduidelijkheid en efficiencyverlies , terwijl het  uitgangspunt is om efficiënter te werken. Er is de verhoogde kans op fouten, met negatieve gevolgen voor de continuïteit en betrouwbaarheid van dienstverlening.</w:t>
            </w:r>
          </w:p>
          <w:p w14:paraId="4AF95F13" w14:textId="77777777" w:rsidR="00181BF9" w:rsidRPr="00475DB6" w:rsidRDefault="00181BF9">
            <w:pPr>
              <w:rPr>
                <w:rFonts w:ascii="Verdana" w:hAnsi="Verdana"/>
                <w:sz w:val="18"/>
                <w:szCs w:val="18"/>
              </w:rPr>
            </w:pPr>
            <w:r w:rsidRPr="00475DB6">
              <w:rPr>
                <w:rFonts w:ascii="Verdana" w:hAnsi="Verdana"/>
                <w:sz w:val="18"/>
                <w:szCs w:val="18"/>
              </w:rPr>
              <w:t>Voor de provincie betekent dit ook dat zij zelfstandig een nieuwe structuur moet optuigen voor archiefbeheer, los van de gemeenten, wat extra organisatorische en financiële lasten met zich meebrengt.</w:t>
            </w:r>
          </w:p>
          <w:p w14:paraId="5BC137B0" w14:textId="77777777" w:rsidR="00181BF9" w:rsidRPr="00475DB6" w:rsidRDefault="00181BF9">
            <w:pPr>
              <w:rPr>
                <w:rFonts w:ascii="Verdana" w:hAnsi="Verdana"/>
                <w:sz w:val="18"/>
                <w:szCs w:val="18"/>
              </w:rPr>
            </w:pPr>
          </w:p>
          <w:p w14:paraId="1E824856" w14:textId="77777777" w:rsidR="00181BF9" w:rsidRPr="00475DB6" w:rsidRDefault="00181BF9">
            <w:pPr>
              <w:rPr>
                <w:rFonts w:ascii="Verdana" w:hAnsi="Verdana"/>
                <w:sz w:val="18"/>
                <w:szCs w:val="18"/>
                <w:u w:val="single"/>
              </w:rPr>
            </w:pPr>
            <w:r w:rsidRPr="00475DB6">
              <w:rPr>
                <w:rFonts w:ascii="Verdana" w:hAnsi="Verdana"/>
                <w:sz w:val="18"/>
                <w:szCs w:val="18"/>
                <w:u w:val="single"/>
              </w:rPr>
              <w:t>5. Beperkte invloed en afname kwaliteit informatievoorziening</w:t>
            </w:r>
          </w:p>
          <w:p w14:paraId="071DC637" w14:textId="77777777" w:rsidR="00181BF9" w:rsidRPr="00475DB6" w:rsidRDefault="00181BF9">
            <w:pPr>
              <w:rPr>
                <w:rFonts w:ascii="Verdana" w:hAnsi="Verdana"/>
                <w:sz w:val="18"/>
                <w:szCs w:val="18"/>
              </w:rPr>
            </w:pPr>
            <w:r w:rsidRPr="00475DB6">
              <w:rPr>
                <w:rFonts w:ascii="Verdana" w:hAnsi="Verdana"/>
                <w:sz w:val="18"/>
                <w:szCs w:val="18"/>
              </w:rPr>
              <w:t>OD NHN heeft na overdracht geen invloed meer op de kwaliteit van het documentbeheer, toezicht op vernietigingstermijnen of de archiveringspraktijken bij deelnemers.</w:t>
            </w:r>
          </w:p>
          <w:p w14:paraId="1C49DD96" w14:textId="77777777" w:rsidR="00181BF9" w:rsidRPr="00475DB6" w:rsidRDefault="00181BF9">
            <w:pPr>
              <w:rPr>
                <w:rFonts w:ascii="Verdana" w:hAnsi="Verdana"/>
                <w:sz w:val="18"/>
                <w:szCs w:val="18"/>
              </w:rPr>
            </w:pPr>
            <w:r w:rsidRPr="00475DB6">
              <w:rPr>
                <w:rFonts w:ascii="Verdana" w:hAnsi="Verdana"/>
                <w:sz w:val="18"/>
                <w:szCs w:val="18"/>
              </w:rPr>
              <w:t>Dit leidt mogelijk tot grote verschillen in kwaliteit tussen gemeenten en kan de regionale informatievoorziening ondermijnen.</w:t>
            </w:r>
          </w:p>
          <w:p w14:paraId="58C68068" w14:textId="77777777" w:rsidR="00181BF9" w:rsidRPr="00475DB6" w:rsidRDefault="00181BF9">
            <w:pPr>
              <w:rPr>
                <w:rFonts w:ascii="Verdana" w:hAnsi="Verdana"/>
                <w:sz w:val="18"/>
                <w:szCs w:val="18"/>
              </w:rPr>
            </w:pPr>
          </w:p>
          <w:p w14:paraId="52390978" w14:textId="77777777" w:rsidR="00181BF9" w:rsidRPr="00475DB6" w:rsidRDefault="00181BF9">
            <w:pPr>
              <w:rPr>
                <w:rFonts w:ascii="Verdana" w:hAnsi="Verdana"/>
                <w:sz w:val="18"/>
                <w:szCs w:val="18"/>
                <w:u w:val="single"/>
              </w:rPr>
            </w:pPr>
            <w:r w:rsidRPr="00475DB6">
              <w:rPr>
                <w:rFonts w:ascii="Verdana" w:hAnsi="Verdana"/>
                <w:sz w:val="18"/>
                <w:szCs w:val="18"/>
                <w:u w:val="single"/>
              </w:rPr>
              <w:t>6. Belemmering uitvoering resterende taken OD NHN</w:t>
            </w:r>
          </w:p>
          <w:p w14:paraId="712D2BD0" w14:textId="77777777" w:rsidR="00181BF9" w:rsidRPr="00475DB6" w:rsidRDefault="00181BF9">
            <w:pPr>
              <w:rPr>
                <w:rFonts w:ascii="Verdana" w:hAnsi="Verdana"/>
                <w:sz w:val="18"/>
                <w:szCs w:val="18"/>
              </w:rPr>
            </w:pPr>
            <w:r w:rsidRPr="00475DB6">
              <w:rPr>
                <w:rFonts w:ascii="Verdana" w:hAnsi="Verdana"/>
                <w:sz w:val="18"/>
                <w:szCs w:val="18"/>
              </w:rPr>
              <w:t>Zonder directe toegang tot het archief wordt de uitvoering van andere taken van OD NHN (zoals toezicht, vergunningverlening, handhaving) inefficiënt en ineffectief. Dit kan leiden tot vertragingen en extra kosten voor zowel OD NHN als de deelnemers.</w:t>
            </w:r>
          </w:p>
          <w:p w14:paraId="6CF6C7FD" w14:textId="77777777" w:rsidR="00181BF9" w:rsidRPr="00475DB6" w:rsidRDefault="00181BF9">
            <w:pPr>
              <w:rPr>
                <w:rFonts w:ascii="Verdana" w:hAnsi="Verdana"/>
                <w:sz w:val="18"/>
                <w:szCs w:val="18"/>
              </w:rPr>
            </w:pPr>
          </w:p>
          <w:p w14:paraId="526337CF" w14:textId="77777777" w:rsidR="00181BF9" w:rsidRPr="00475DB6" w:rsidRDefault="00181BF9">
            <w:pPr>
              <w:rPr>
                <w:rFonts w:ascii="Verdana" w:hAnsi="Verdana"/>
                <w:sz w:val="18"/>
                <w:szCs w:val="18"/>
                <w:u w:val="single"/>
              </w:rPr>
            </w:pPr>
            <w:r w:rsidRPr="00475DB6">
              <w:rPr>
                <w:rFonts w:ascii="Verdana" w:hAnsi="Verdana"/>
                <w:sz w:val="18"/>
                <w:szCs w:val="18"/>
                <w:u w:val="single"/>
              </w:rPr>
              <w:t>7. Organisatorische onrust en kosten door reorganisatie</w:t>
            </w:r>
          </w:p>
          <w:p w14:paraId="4360E6A0" w14:textId="77777777" w:rsidR="00181BF9" w:rsidRPr="00475DB6" w:rsidRDefault="00181BF9">
            <w:pPr>
              <w:rPr>
                <w:rFonts w:ascii="Verdana" w:hAnsi="Verdana"/>
                <w:sz w:val="18"/>
                <w:szCs w:val="18"/>
              </w:rPr>
            </w:pPr>
            <w:r w:rsidRPr="00475DB6">
              <w:rPr>
                <w:rFonts w:ascii="Verdana" w:hAnsi="Verdana"/>
                <w:sz w:val="18"/>
                <w:szCs w:val="18"/>
              </w:rPr>
              <w:t>De overdracht impliceert een ingrijpende reorganisatie binnen OD NHN, met bijbehorende interne onrust, verlies van expertise en bijbehorende afvloeiingskosten.</w:t>
            </w:r>
          </w:p>
          <w:p w14:paraId="777C6D93" w14:textId="77777777" w:rsidR="00181BF9" w:rsidRPr="00475DB6" w:rsidRDefault="00181BF9">
            <w:pPr>
              <w:rPr>
                <w:rFonts w:ascii="Verdana" w:hAnsi="Verdana"/>
                <w:sz w:val="18"/>
                <w:szCs w:val="18"/>
              </w:rPr>
            </w:pPr>
            <w:r w:rsidRPr="00475DB6">
              <w:rPr>
                <w:rFonts w:ascii="Verdana" w:hAnsi="Verdana"/>
                <w:sz w:val="18"/>
                <w:szCs w:val="18"/>
              </w:rPr>
              <w:t>Eventuele afvloeiingsregelingen zorgen juist in de eerste jaren voor kostenverhoging, in plaats van besparing.</w:t>
            </w:r>
          </w:p>
        </w:tc>
      </w:tr>
      <w:tr w:rsidR="00181BF9" w:rsidRPr="00475DB6" w14:paraId="0185EE7E" w14:textId="77777777" w:rsidTr="4181B624">
        <w:tc>
          <w:tcPr>
            <w:tcW w:w="845" w:type="dxa"/>
            <w:shd w:val="clear" w:color="auto" w:fill="FFFF00"/>
          </w:tcPr>
          <w:p w14:paraId="29BBEFF0" w14:textId="77777777" w:rsidR="00181BF9" w:rsidRPr="00475DB6" w:rsidRDefault="00181BF9">
            <w:pPr>
              <w:rPr>
                <w:rFonts w:ascii="Verdana" w:hAnsi="Verdana"/>
                <w:sz w:val="18"/>
                <w:szCs w:val="18"/>
              </w:rPr>
            </w:pPr>
          </w:p>
        </w:tc>
        <w:tc>
          <w:tcPr>
            <w:tcW w:w="3750" w:type="dxa"/>
            <w:shd w:val="clear" w:color="auto" w:fill="FFFF00"/>
          </w:tcPr>
          <w:p w14:paraId="29F08CCD" w14:textId="77777777" w:rsidR="00181BF9" w:rsidRPr="00475DB6" w:rsidRDefault="00181BF9">
            <w:pPr>
              <w:rPr>
                <w:rFonts w:ascii="Verdana" w:hAnsi="Verdana" w:cs="Arial"/>
                <w:b/>
                <w:bCs/>
                <w:color w:val="000000" w:themeColor="text1"/>
                <w:sz w:val="18"/>
                <w:szCs w:val="18"/>
              </w:rPr>
            </w:pPr>
            <w:r w:rsidRPr="00475DB6">
              <w:rPr>
                <w:rFonts w:ascii="Verdana" w:hAnsi="Verdana" w:cs="Arial"/>
                <w:b/>
                <w:bCs/>
                <w:color w:val="000000" w:themeColor="text1"/>
                <w:sz w:val="18"/>
                <w:szCs w:val="18"/>
              </w:rPr>
              <w:t>Totaal</w:t>
            </w:r>
          </w:p>
        </w:tc>
        <w:tc>
          <w:tcPr>
            <w:tcW w:w="2913" w:type="dxa"/>
            <w:shd w:val="clear" w:color="auto" w:fill="FFFF00"/>
          </w:tcPr>
          <w:p w14:paraId="0C565A4F" w14:textId="77777777" w:rsidR="00181BF9" w:rsidRPr="00475DB6" w:rsidRDefault="00181BF9">
            <w:pPr>
              <w:rPr>
                <w:rFonts w:ascii="Verdana" w:hAnsi="Verdana" w:cs="Arial"/>
                <w:sz w:val="18"/>
                <w:szCs w:val="18"/>
              </w:rPr>
            </w:pPr>
          </w:p>
        </w:tc>
        <w:tc>
          <w:tcPr>
            <w:tcW w:w="1276" w:type="dxa"/>
            <w:shd w:val="clear" w:color="auto" w:fill="FFFF00"/>
          </w:tcPr>
          <w:p w14:paraId="67D34743" w14:textId="77777777" w:rsidR="00181BF9" w:rsidRPr="00475DB6" w:rsidRDefault="00181BF9">
            <w:pPr>
              <w:rPr>
                <w:rFonts w:ascii="Verdana" w:hAnsi="Verdana"/>
                <w:b/>
                <w:bCs/>
                <w:sz w:val="18"/>
                <w:szCs w:val="18"/>
              </w:rPr>
            </w:pPr>
            <w:r w:rsidRPr="00475DB6">
              <w:rPr>
                <w:rFonts w:ascii="Verdana" w:hAnsi="Verdana"/>
                <w:b/>
                <w:bCs/>
                <w:sz w:val="18"/>
                <w:szCs w:val="18"/>
              </w:rPr>
              <w:t>992.000</w:t>
            </w:r>
          </w:p>
        </w:tc>
        <w:tc>
          <w:tcPr>
            <w:tcW w:w="1417" w:type="dxa"/>
            <w:shd w:val="clear" w:color="auto" w:fill="FFFF00"/>
          </w:tcPr>
          <w:p w14:paraId="2F61C8E1" w14:textId="77777777" w:rsidR="00181BF9" w:rsidRPr="00475DB6" w:rsidRDefault="00181BF9">
            <w:pPr>
              <w:rPr>
                <w:rFonts w:ascii="Verdana" w:hAnsi="Verdana"/>
                <w:sz w:val="18"/>
                <w:szCs w:val="18"/>
              </w:rPr>
            </w:pPr>
          </w:p>
        </w:tc>
        <w:tc>
          <w:tcPr>
            <w:tcW w:w="4820" w:type="dxa"/>
            <w:shd w:val="clear" w:color="auto" w:fill="FFFF00"/>
          </w:tcPr>
          <w:p w14:paraId="55643D06" w14:textId="5C275CC1" w:rsidR="00181BF9" w:rsidRPr="00475DB6" w:rsidRDefault="00C92C04">
            <w:pPr>
              <w:rPr>
                <w:rFonts w:ascii="Verdana" w:hAnsi="Verdana"/>
                <w:b/>
                <w:bCs/>
                <w:sz w:val="18"/>
                <w:szCs w:val="18"/>
              </w:rPr>
            </w:pPr>
            <w:r w:rsidRPr="00475DB6">
              <w:rPr>
                <w:rFonts w:ascii="Verdana" w:hAnsi="Verdana"/>
                <w:b/>
                <w:bCs/>
                <w:sz w:val="18"/>
                <w:szCs w:val="18"/>
              </w:rPr>
              <w:t>5% besparing</w:t>
            </w:r>
            <w:r w:rsidR="00B31AB8" w:rsidRPr="00475DB6">
              <w:rPr>
                <w:rFonts w:ascii="Verdana" w:hAnsi="Verdana"/>
                <w:b/>
                <w:bCs/>
                <w:sz w:val="18"/>
                <w:szCs w:val="18"/>
              </w:rPr>
              <w:t>smaatregelen</w:t>
            </w:r>
          </w:p>
        </w:tc>
      </w:tr>
    </w:tbl>
    <w:p w14:paraId="3D0D9372" w14:textId="7FE7D279" w:rsidR="00A70F2E" w:rsidRDefault="00A70F2E" w:rsidP="00491383">
      <w:pPr>
        <w:spacing w:line="240" w:lineRule="auto"/>
        <w:rPr>
          <w:rFonts w:ascii="Verdana" w:hAnsi="Verdana"/>
          <w:sz w:val="18"/>
          <w:szCs w:val="18"/>
        </w:rPr>
      </w:pPr>
    </w:p>
    <w:sectPr w:rsidR="00A70F2E" w:rsidSect="00A70F2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25FA" w14:textId="77777777" w:rsidR="008309EF" w:rsidRDefault="008309EF" w:rsidP="0045718D">
      <w:pPr>
        <w:spacing w:after="0" w:line="240" w:lineRule="auto"/>
      </w:pPr>
      <w:r>
        <w:separator/>
      </w:r>
    </w:p>
  </w:endnote>
  <w:endnote w:type="continuationSeparator" w:id="0">
    <w:p w14:paraId="6119C38F" w14:textId="77777777" w:rsidR="008309EF" w:rsidRDefault="008309EF" w:rsidP="0045718D">
      <w:pPr>
        <w:spacing w:after="0" w:line="240" w:lineRule="auto"/>
      </w:pPr>
      <w:r>
        <w:continuationSeparator/>
      </w:r>
    </w:p>
  </w:endnote>
  <w:endnote w:type="continuationNotice" w:id="1">
    <w:p w14:paraId="5102E762" w14:textId="77777777" w:rsidR="008309EF" w:rsidRDefault="00830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922087"/>
      <w:docPartObj>
        <w:docPartGallery w:val="Page Numbers (Bottom of Page)"/>
        <w:docPartUnique/>
      </w:docPartObj>
    </w:sdtPr>
    <w:sdtContent>
      <w:p w14:paraId="625754A8" w14:textId="6D484370" w:rsidR="00572139" w:rsidRDefault="00572139">
        <w:pPr>
          <w:pStyle w:val="Voettekst"/>
        </w:pPr>
        <w:r>
          <w:fldChar w:fldCharType="begin"/>
        </w:r>
        <w:r>
          <w:instrText>PAGE   \* MERGEFORMAT</w:instrText>
        </w:r>
        <w:r>
          <w:fldChar w:fldCharType="separate"/>
        </w:r>
        <w:r>
          <w:t>2</w:t>
        </w:r>
        <w:r>
          <w:fldChar w:fldCharType="end"/>
        </w:r>
      </w:p>
    </w:sdtContent>
  </w:sdt>
  <w:p w14:paraId="4E3DFD0B" w14:textId="77777777" w:rsidR="00572139" w:rsidRDefault="00572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FA99" w14:textId="77777777" w:rsidR="008309EF" w:rsidRDefault="008309EF" w:rsidP="0045718D">
      <w:pPr>
        <w:spacing w:after="0" w:line="240" w:lineRule="auto"/>
      </w:pPr>
      <w:r>
        <w:separator/>
      </w:r>
    </w:p>
  </w:footnote>
  <w:footnote w:type="continuationSeparator" w:id="0">
    <w:p w14:paraId="7BE63FEB" w14:textId="77777777" w:rsidR="008309EF" w:rsidRDefault="008309EF" w:rsidP="0045718D">
      <w:pPr>
        <w:spacing w:after="0" w:line="240" w:lineRule="auto"/>
      </w:pPr>
      <w:r>
        <w:continuationSeparator/>
      </w:r>
    </w:p>
  </w:footnote>
  <w:footnote w:type="continuationNotice" w:id="1">
    <w:p w14:paraId="6788DD41" w14:textId="77777777" w:rsidR="008309EF" w:rsidRDefault="008309EF">
      <w:pPr>
        <w:spacing w:after="0" w:line="240" w:lineRule="auto"/>
      </w:pPr>
    </w:p>
  </w:footnote>
  <w:footnote w:id="2">
    <w:p w14:paraId="25E6CE38" w14:textId="77777777" w:rsidR="00A13C02" w:rsidRDefault="00A13C02" w:rsidP="00A13C02">
      <w:pPr>
        <w:pStyle w:val="Voetnoottekst"/>
      </w:pPr>
      <w:r>
        <w:rPr>
          <w:rStyle w:val="Voetnootmarkering"/>
        </w:rPr>
        <w:footnoteRef/>
      </w:r>
      <w:r>
        <w:t xml:space="preserve"> Berekening gebaseerd op begroting 2025 incl. indexatiecijfer voor 2026 van het structurele financieringsaandeel van de </w:t>
      </w:r>
      <w:r w:rsidRPr="00B6327A">
        <w:rPr>
          <w:u w:val="single"/>
        </w:rPr>
        <w:t>gemeentelijke</w:t>
      </w:r>
      <w:r>
        <w:t xml:space="preserve"> milieutaken. </w:t>
      </w:r>
    </w:p>
  </w:footnote>
</w:footnotes>
</file>

<file path=word/intelligence2.xml><?xml version="1.0" encoding="utf-8"?>
<int2:intelligence xmlns:int2="http://schemas.microsoft.com/office/intelligence/2020/intelligence" xmlns:oel="http://schemas.microsoft.com/office/2019/extlst">
  <int2:observations>
    <int2:textHash int2:hashCode="RCQUSyP4Xl3AC4" int2:id="FoanQhK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FD5"/>
    <w:multiLevelType w:val="hybridMultilevel"/>
    <w:tmpl w:val="413896E2"/>
    <w:lvl w:ilvl="0" w:tplc="B998AF64">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164201"/>
    <w:multiLevelType w:val="hybridMultilevel"/>
    <w:tmpl w:val="FF1A2150"/>
    <w:lvl w:ilvl="0" w:tplc="978AF51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103A96"/>
    <w:multiLevelType w:val="hybridMultilevel"/>
    <w:tmpl w:val="E6C4B3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C74002"/>
    <w:multiLevelType w:val="hybridMultilevel"/>
    <w:tmpl w:val="4E0E0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0D3B6E"/>
    <w:multiLevelType w:val="hybridMultilevel"/>
    <w:tmpl w:val="653873F4"/>
    <w:lvl w:ilvl="0" w:tplc="38B858C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879219">
    <w:abstractNumId w:val="3"/>
  </w:num>
  <w:num w:numId="2" w16cid:durableId="1960379542">
    <w:abstractNumId w:val="2"/>
  </w:num>
  <w:num w:numId="3" w16cid:durableId="1780491560">
    <w:abstractNumId w:val="4"/>
  </w:num>
  <w:num w:numId="4" w16cid:durableId="932008366">
    <w:abstractNumId w:val="1"/>
  </w:num>
  <w:num w:numId="5" w16cid:durableId="145216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CB"/>
    <w:rsid w:val="0000541F"/>
    <w:rsid w:val="000110B7"/>
    <w:rsid w:val="00013C94"/>
    <w:rsid w:val="000165AC"/>
    <w:rsid w:val="000278A5"/>
    <w:rsid w:val="00032257"/>
    <w:rsid w:val="000336B9"/>
    <w:rsid w:val="000336D0"/>
    <w:rsid w:val="00037C49"/>
    <w:rsid w:val="00041477"/>
    <w:rsid w:val="000436AD"/>
    <w:rsid w:val="000437A0"/>
    <w:rsid w:val="00044C28"/>
    <w:rsid w:val="00044DFF"/>
    <w:rsid w:val="00054633"/>
    <w:rsid w:val="000549E0"/>
    <w:rsid w:val="00054FAD"/>
    <w:rsid w:val="000558E6"/>
    <w:rsid w:val="00055C98"/>
    <w:rsid w:val="00063832"/>
    <w:rsid w:val="00063B9F"/>
    <w:rsid w:val="000771B8"/>
    <w:rsid w:val="00080F3B"/>
    <w:rsid w:val="00090CB0"/>
    <w:rsid w:val="000965E8"/>
    <w:rsid w:val="00097423"/>
    <w:rsid w:val="000A0E03"/>
    <w:rsid w:val="000A298F"/>
    <w:rsid w:val="000A40A5"/>
    <w:rsid w:val="000B05E5"/>
    <w:rsid w:val="000B3450"/>
    <w:rsid w:val="000B6A86"/>
    <w:rsid w:val="000B6B22"/>
    <w:rsid w:val="000C201F"/>
    <w:rsid w:val="000D02D6"/>
    <w:rsid w:val="000D2723"/>
    <w:rsid w:val="000D403F"/>
    <w:rsid w:val="000D797F"/>
    <w:rsid w:val="000E1043"/>
    <w:rsid w:val="000E3683"/>
    <w:rsid w:val="000F0029"/>
    <w:rsid w:val="000F1F16"/>
    <w:rsid w:val="000F5B3D"/>
    <w:rsid w:val="001033F0"/>
    <w:rsid w:val="001069C1"/>
    <w:rsid w:val="00112268"/>
    <w:rsid w:val="001128F6"/>
    <w:rsid w:val="00113B3C"/>
    <w:rsid w:val="001238CD"/>
    <w:rsid w:val="00132D6E"/>
    <w:rsid w:val="001339EA"/>
    <w:rsid w:val="0013765F"/>
    <w:rsid w:val="00140714"/>
    <w:rsid w:val="00147EF1"/>
    <w:rsid w:val="0015120B"/>
    <w:rsid w:val="001641BB"/>
    <w:rsid w:val="001714B9"/>
    <w:rsid w:val="00174DB4"/>
    <w:rsid w:val="00181BF9"/>
    <w:rsid w:val="0018559C"/>
    <w:rsid w:val="00192E7E"/>
    <w:rsid w:val="00193BE7"/>
    <w:rsid w:val="00195CC2"/>
    <w:rsid w:val="001A4E0D"/>
    <w:rsid w:val="001A5DD8"/>
    <w:rsid w:val="001B004F"/>
    <w:rsid w:val="001B0F1C"/>
    <w:rsid w:val="001B713E"/>
    <w:rsid w:val="001C0205"/>
    <w:rsid w:val="001C064B"/>
    <w:rsid w:val="001D1B75"/>
    <w:rsid w:val="001D2B17"/>
    <w:rsid w:val="001D687E"/>
    <w:rsid w:val="001F2074"/>
    <w:rsid w:val="001F25B5"/>
    <w:rsid w:val="002017D6"/>
    <w:rsid w:val="00203870"/>
    <w:rsid w:val="00207F53"/>
    <w:rsid w:val="00214EE1"/>
    <w:rsid w:val="002179FA"/>
    <w:rsid w:val="00223D44"/>
    <w:rsid w:val="00226922"/>
    <w:rsid w:val="002328E7"/>
    <w:rsid w:val="0023449F"/>
    <w:rsid w:val="00235432"/>
    <w:rsid w:val="00236AAF"/>
    <w:rsid w:val="00245B17"/>
    <w:rsid w:val="00246C30"/>
    <w:rsid w:val="002551BB"/>
    <w:rsid w:val="002670DE"/>
    <w:rsid w:val="00270068"/>
    <w:rsid w:val="0028155B"/>
    <w:rsid w:val="00282BB4"/>
    <w:rsid w:val="0028551F"/>
    <w:rsid w:val="00286031"/>
    <w:rsid w:val="00291C0B"/>
    <w:rsid w:val="002A0887"/>
    <w:rsid w:val="002A2CE2"/>
    <w:rsid w:val="002B4C1E"/>
    <w:rsid w:val="002C3946"/>
    <w:rsid w:val="002C3970"/>
    <w:rsid w:val="002D3D3C"/>
    <w:rsid w:val="002D48EF"/>
    <w:rsid w:val="002D7467"/>
    <w:rsid w:val="002EFC1D"/>
    <w:rsid w:val="002F3247"/>
    <w:rsid w:val="002F5B1A"/>
    <w:rsid w:val="0030070B"/>
    <w:rsid w:val="00302B0C"/>
    <w:rsid w:val="00305284"/>
    <w:rsid w:val="00317594"/>
    <w:rsid w:val="0032702D"/>
    <w:rsid w:val="003333EE"/>
    <w:rsid w:val="0034451B"/>
    <w:rsid w:val="00346F28"/>
    <w:rsid w:val="003524A7"/>
    <w:rsid w:val="003566CB"/>
    <w:rsid w:val="003570BB"/>
    <w:rsid w:val="003662BC"/>
    <w:rsid w:val="003672F9"/>
    <w:rsid w:val="00370250"/>
    <w:rsid w:val="00370914"/>
    <w:rsid w:val="00382FB8"/>
    <w:rsid w:val="00387CA1"/>
    <w:rsid w:val="003905BF"/>
    <w:rsid w:val="00393DB6"/>
    <w:rsid w:val="003974B7"/>
    <w:rsid w:val="003A56B2"/>
    <w:rsid w:val="003A7B4A"/>
    <w:rsid w:val="003B3F2F"/>
    <w:rsid w:val="003D31C1"/>
    <w:rsid w:val="003D8774"/>
    <w:rsid w:val="003E3635"/>
    <w:rsid w:val="003E440E"/>
    <w:rsid w:val="003F6521"/>
    <w:rsid w:val="003F6D50"/>
    <w:rsid w:val="00402997"/>
    <w:rsid w:val="0040465A"/>
    <w:rsid w:val="004116AF"/>
    <w:rsid w:val="00411827"/>
    <w:rsid w:val="00415640"/>
    <w:rsid w:val="00425529"/>
    <w:rsid w:val="00427240"/>
    <w:rsid w:val="00442F84"/>
    <w:rsid w:val="00443098"/>
    <w:rsid w:val="0045718D"/>
    <w:rsid w:val="00465F59"/>
    <w:rsid w:val="004665C1"/>
    <w:rsid w:val="00473184"/>
    <w:rsid w:val="0047369C"/>
    <w:rsid w:val="0047537E"/>
    <w:rsid w:val="00475DB6"/>
    <w:rsid w:val="0048208B"/>
    <w:rsid w:val="00482541"/>
    <w:rsid w:val="004845C5"/>
    <w:rsid w:val="00490751"/>
    <w:rsid w:val="00491383"/>
    <w:rsid w:val="00495898"/>
    <w:rsid w:val="004B2450"/>
    <w:rsid w:val="004B2510"/>
    <w:rsid w:val="004B267F"/>
    <w:rsid w:val="004B2D0A"/>
    <w:rsid w:val="004B3866"/>
    <w:rsid w:val="004B5A00"/>
    <w:rsid w:val="004C31C7"/>
    <w:rsid w:val="004C50CF"/>
    <w:rsid w:val="004C6E19"/>
    <w:rsid w:val="004D5152"/>
    <w:rsid w:val="004E2298"/>
    <w:rsid w:val="004E6742"/>
    <w:rsid w:val="004F33B7"/>
    <w:rsid w:val="004F4EFC"/>
    <w:rsid w:val="004F5F85"/>
    <w:rsid w:val="005001B0"/>
    <w:rsid w:val="00511942"/>
    <w:rsid w:val="00514BA6"/>
    <w:rsid w:val="00521306"/>
    <w:rsid w:val="0052616E"/>
    <w:rsid w:val="00530C60"/>
    <w:rsid w:val="005423EC"/>
    <w:rsid w:val="0054271B"/>
    <w:rsid w:val="00545407"/>
    <w:rsid w:val="005538E0"/>
    <w:rsid w:val="005541C4"/>
    <w:rsid w:val="0056106B"/>
    <w:rsid w:val="00561BC1"/>
    <w:rsid w:val="00561D87"/>
    <w:rsid w:val="00570A68"/>
    <w:rsid w:val="00572139"/>
    <w:rsid w:val="0057391A"/>
    <w:rsid w:val="005748C5"/>
    <w:rsid w:val="00574E38"/>
    <w:rsid w:val="00574EF3"/>
    <w:rsid w:val="0058025F"/>
    <w:rsid w:val="005812E2"/>
    <w:rsid w:val="005813AC"/>
    <w:rsid w:val="005838DD"/>
    <w:rsid w:val="00586017"/>
    <w:rsid w:val="00596CAC"/>
    <w:rsid w:val="005A02B8"/>
    <w:rsid w:val="005A74D1"/>
    <w:rsid w:val="005A7AD8"/>
    <w:rsid w:val="005A7EA2"/>
    <w:rsid w:val="005B2B3D"/>
    <w:rsid w:val="005C2A6A"/>
    <w:rsid w:val="005C2CB1"/>
    <w:rsid w:val="005C481D"/>
    <w:rsid w:val="005C74DA"/>
    <w:rsid w:val="005D0C5C"/>
    <w:rsid w:val="005D6845"/>
    <w:rsid w:val="005D728D"/>
    <w:rsid w:val="005E5FEE"/>
    <w:rsid w:val="005F0C2C"/>
    <w:rsid w:val="005F4EF7"/>
    <w:rsid w:val="00624558"/>
    <w:rsid w:val="00630CF2"/>
    <w:rsid w:val="00632086"/>
    <w:rsid w:val="00636F92"/>
    <w:rsid w:val="00637F8F"/>
    <w:rsid w:val="00641459"/>
    <w:rsid w:val="00644D90"/>
    <w:rsid w:val="006542B4"/>
    <w:rsid w:val="00654E88"/>
    <w:rsid w:val="00667023"/>
    <w:rsid w:val="006678C9"/>
    <w:rsid w:val="0067020A"/>
    <w:rsid w:val="00676BD9"/>
    <w:rsid w:val="006808B6"/>
    <w:rsid w:val="006838A6"/>
    <w:rsid w:val="006916E7"/>
    <w:rsid w:val="00691F98"/>
    <w:rsid w:val="006946FD"/>
    <w:rsid w:val="00697C76"/>
    <w:rsid w:val="006A68C9"/>
    <w:rsid w:val="006A6B8D"/>
    <w:rsid w:val="006B0250"/>
    <w:rsid w:val="006B2498"/>
    <w:rsid w:val="006B4172"/>
    <w:rsid w:val="006C2A48"/>
    <w:rsid w:val="006C3E06"/>
    <w:rsid w:val="006C680E"/>
    <w:rsid w:val="006D5925"/>
    <w:rsid w:val="006E6139"/>
    <w:rsid w:val="006F4B0E"/>
    <w:rsid w:val="00703853"/>
    <w:rsid w:val="007060A5"/>
    <w:rsid w:val="00715562"/>
    <w:rsid w:val="00717FB3"/>
    <w:rsid w:val="0072223A"/>
    <w:rsid w:val="0072594E"/>
    <w:rsid w:val="007278D7"/>
    <w:rsid w:val="00730404"/>
    <w:rsid w:val="00740E10"/>
    <w:rsid w:val="007433A1"/>
    <w:rsid w:val="00743B6E"/>
    <w:rsid w:val="00747C33"/>
    <w:rsid w:val="007516EE"/>
    <w:rsid w:val="00753E8F"/>
    <w:rsid w:val="007577CE"/>
    <w:rsid w:val="00764AC4"/>
    <w:rsid w:val="00766961"/>
    <w:rsid w:val="0076741B"/>
    <w:rsid w:val="00772C69"/>
    <w:rsid w:val="0077668B"/>
    <w:rsid w:val="0078269E"/>
    <w:rsid w:val="00785A64"/>
    <w:rsid w:val="00786EB4"/>
    <w:rsid w:val="007920C0"/>
    <w:rsid w:val="00793C7C"/>
    <w:rsid w:val="00795D79"/>
    <w:rsid w:val="00796967"/>
    <w:rsid w:val="00796B3B"/>
    <w:rsid w:val="007A4323"/>
    <w:rsid w:val="007A5531"/>
    <w:rsid w:val="007B0887"/>
    <w:rsid w:val="007B357E"/>
    <w:rsid w:val="007C0AD1"/>
    <w:rsid w:val="007C7B25"/>
    <w:rsid w:val="007D35E7"/>
    <w:rsid w:val="007D4D6D"/>
    <w:rsid w:val="007F55C6"/>
    <w:rsid w:val="00802749"/>
    <w:rsid w:val="00803574"/>
    <w:rsid w:val="00804F93"/>
    <w:rsid w:val="00820330"/>
    <w:rsid w:val="00824EC3"/>
    <w:rsid w:val="008309EF"/>
    <w:rsid w:val="0083523B"/>
    <w:rsid w:val="00835FA3"/>
    <w:rsid w:val="0084690C"/>
    <w:rsid w:val="008470D6"/>
    <w:rsid w:val="0085338A"/>
    <w:rsid w:val="00853DCA"/>
    <w:rsid w:val="0085445A"/>
    <w:rsid w:val="008657BF"/>
    <w:rsid w:val="00885094"/>
    <w:rsid w:val="0088561F"/>
    <w:rsid w:val="008873DB"/>
    <w:rsid w:val="0089051D"/>
    <w:rsid w:val="00891462"/>
    <w:rsid w:val="008923C4"/>
    <w:rsid w:val="00894699"/>
    <w:rsid w:val="00895CA7"/>
    <w:rsid w:val="008A4EA7"/>
    <w:rsid w:val="008C3D07"/>
    <w:rsid w:val="008C4791"/>
    <w:rsid w:val="008D24D3"/>
    <w:rsid w:val="008D40FC"/>
    <w:rsid w:val="008D44E1"/>
    <w:rsid w:val="008D57D8"/>
    <w:rsid w:val="008E70ED"/>
    <w:rsid w:val="008E7EF7"/>
    <w:rsid w:val="008F10E0"/>
    <w:rsid w:val="008F2D54"/>
    <w:rsid w:val="008F3038"/>
    <w:rsid w:val="00901B45"/>
    <w:rsid w:val="009055CA"/>
    <w:rsid w:val="00905C27"/>
    <w:rsid w:val="00911517"/>
    <w:rsid w:val="00911B5E"/>
    <w:rsid w:val="00911F73"/>
    <w:rsid w:val="009165BA"/>
    <w:rsid w:val="00917E96"/>
    <w:rsid w:val="00920A42"/>
    <w:rsid w:val="009212F2"/>
    <w:rsid w:val="009213CD"/>
    <w:rsid w:val="00923F11"/>
    <w:rsid w:val="00924C44"/>
    <w:rsid w:val="009308E3"/>
    <w:rsid w:val="00952024"/>
    <w:rsid w:val="00953224"/>
    <w:rsid w:val="009553E7"/>
    <w:rsid w:val="00967421"/>
    <w:rsid w:val="0097111F"/>
    <w:rsid w:val="00972FE2"/>
    <w:rsid w:val="00973DFA"/>
    <w:rsid w:val="0097606E"/>
    <w:rsid w:val="00977ADA"/>
    <w:rsid w:val="0098055A"/>
    <w:rsid w:val="00981584"/>
    <w:rsid w:val="0098229B"/>
    <w:rsid w:val="00984B15"/>
    <w:rsid w:val="00990D44"/>
    <w:rsid w:val="00991D0F"/>
    <w:rsid w:val="00994FB5"/>
    <w:rsid w:val="009A0979"/>
    <w:rsid w:val="009A31CA"/>
    <w:rsid w:val="009A5439"/>
    <w:rsid w:val="009B1615"/>
    <w:rsid w:val="009B1F49"/>
    <w:rsid w:val="009B3F79"/>
    <w:rsid w:val="009B78D6"/>
    <w:rsid w:val="009C0794"/>
    <w:rsid w:val="009C2575"/>
    <w:rsid w:val="009C2EEA"/>
    <w:rsid w:val="009C5201"/>
    <w:rsid w:val="009D332B"/>
    <w:rsid w:val="009D48F5"/>
    <w:rsid w:val="009D6CFB"/>
    <w:rsid w:val="009D6EC1"/>
    <w:rsid w:val="009E21B3"/>
    <w:rsid w:val="009E668A"/>
    <w:rsid w:val="009E7D6D"/>
    <w:rsid w:val="009F0D41"/>
    <w:rsid w:val="009F12DB"/>
    <w:rsid w:val="009F55A5"/>
    <w:rsid w:val="009F6A0A"/>
    <w:rsid w:val="00A031AB"/>
    <w:rsid w:val="00A03597"/>
    <w:rsid w:val="00A03E50"/>
    <w:rsid w:val="00A10056"/>
    <w:rsid w:val="00A13C02"/>
    <w:rsid w:val="00A1787F"/>
    <w:rsid w:val="00A26B9C"/>
    <w:rsid w:val="00A3257F"/>
    <w:rsid w:val="00A334CF"/>
    <w:rsid w:val="00A444E2"/>
    <w:rsid w:val="00A52451"/>
    <w:rsid w:val="00A60ECF"/>
    <w:rsid w:val="00A6770F"/>
    <w:rsid w:val="00A70F2E"/>
    <w:rsid w:val="00A73685"/>
    <w:rsid w:val="00A756C1"/>
    <w:rsid w:val="00A85DEC"/>
    <w:rsid w:val="00AA293A"/>
    <w:rsid w:val="00AA5BB6"/>
    <w:rsid w:val="00AB0C23"/>
    <w:rsid w:val="00AB3BA5"/>
    <w:rsid w:val="00AB3C41"/>
    <w:rsid w:val="00AB7460"/>
    <w:rsid w:val="00AC1F35"/>
    <w:rsid w:val="00AC3493"/>
    <w:rsid w:val="00AC3DAA"/>
    <w:rsid w:val="00AC5735"/>
    <w:rsid w:val="00AD0713"/>
    <w:rsid w:val="00AD42E5"/>
    <w:rsid w:val="00AD52E7"/>
    <w:rsid w:val="00AD593C"/>
    <w:rsid w:val="00AD5E7D"/>
    <w:rsid w:val="00AE5903"/>
    <w:rsid w:val="00AF3791"/>
    <w:rsid w:val="00AF6BE4"/>
    <w:rsid w:val="00B030B3"/>
    <w:rsid w:val="00B04ABB"/>
    <w:rsid w:val="00B058C1"/>
    <w:rsid w:val="00B11477"/>
    <w:rsid w:val="00B14EBB"/>
    <w:rsid w:val="00B15805"/>
    <w:rsid w:val="00B16414"/>
    <w:rsid w:val="00B22174"/>
    <w:rsid w:val="00B31AB8"/>
    <w:rsid w:val="00B31CB8"/>
    <w:rsid w:val="00B33A0A"/>
    <w:rsid w:val="00B34BE6"/>
    <w:rsid w:val="00B36C94"/>
    <w:rsid w:val="00B4025E"/>
    <w:rsid w:val="00B42E97"/>
    <w:rsid w:val="00B43298"/>
    <w:rsid w:val="00B6327A"/>
    <w:rsid w:val="00B64056"/>
    <w:rsid w:val="00B6798E"/>
    <w:rsid w:val="00B70B44"/>
    <w:rsid w:val="00B7606B"/>
    <w:rsid w:val="00B76C64"/>
    <w:rsid w:val="00B8250F"/>
    <w:rsid w:val="00B84A74"/>
    <w:rsid w:val="00B84D2E"/>
    <w:rsid w:val="00B86DD6"/>
    <w:rsid w:val="00B904B4"/>
    <w:rsid w:val="00B91DB4"/>
    <w:rsid w:val="00B974F7"/>
    <w:rsid w:val="00BA0DBB"/>
    <w:rsid w:val="00BA468D"/>
    <w:rsid w:val="00BA64A6"/>
    <w:rsid w:val="00BA6F7C"/>
    <w:rsid w:val="00BA7046"/>
    <w:rsid w:val="00BB1CE1"/>
    <w:rsid w:val="00BB2040"/>
    <w:rsid w:val="00BB20F5"/>
    <w:rsid w:val="00BB2141"/>
    <w:rsid w:val="00BB2C01"/>
    <w:rsid w:val="00BB734D"/>
    <w:rsid w:val="00BC02BD"/>
    <w:rsid w:val="00BC2395"/>
    <w:rsid w:val="00BD0873"/>
    <w:rsid w:val="00BD138B"/>
    <w:rsid w:val="00BD1B88"/>
    <w:rsid w:val="00BD1E2D"/>
    <w:rsid w:val="00BD2628"/>
    <w:rsid w:val="00BD61D4"/>
    <w:rsid w:val="00BE4EB4"/>
    <w:rsid w:val="00BE7B3B"/>
    <w:rsid w:val="00BF14EC"/>
    <w:rsid w:val="00BF2177"/>
    <w:rsid w:val="00BF4369"/>
    <w:rsid w:val="00C004BD"/>
    <w:rsid w:val="00C05D2F"/>
    <w:rsid w:val="00C06EDB"/>
    <w:rsid w:val="00C15274"/>
    <w:rsid w:val="00C15C0B"/>
    <w:rsid w:val="00C23318"/>
    <w:rsid w:val="00C348B9"/>
    <w:rsid w:val="00C36DFE"/>
    <w:rsid w:val="00C4228F"/>
    <w:rsid w:val="00C42F3E"/>
    <w:rsid w:val="00C443C0"/>
    <w:rsid w:val="00C5346F"/>
    <w:rsid w:val="00C5451F"/>
    <w:rsid w:val="00C56016"/>
    <w:rsid w:val="00C570CF"/>
    <w:rsid w:val="00C57812"/>
    <w:rsid w:val="00C57CAD"/>
    <w:rsid w:val="00C67661"/>
    <w:rsid w:val="00C67AD8"/>
    <w:rsid w:val="00C702AD"/>
    <w:rsid w:val="00C74C18"/>
    <w:rsid w:val="00C828CC"/>
    <w:rsid w:val="00C84D6B"/>
    <w:rsid w:val="00C90DBB"/>
    <w:rsid w:val="00C913B1"/>
    <w:rsid w:val="00C92C04"/>
    <w:rsid w:val="00C946E9"/>
    <w:rsid w:val="00C94E70"/>
    <w:rsid w:val="00C956C0"/>
    <w:rsid w:val="00C96901"/>
    <w:rsid w:val="00C97470"/>
    <w:rsid w:val="00CA1122"/>
    <w:rsid w:val="00CA6B81"/>
    <w:rsid w:val="00CB4FB2"/>
    <w:rsid w:val="00CC04DC"/>
    <w:rsid w:val="00CC1C70"/>
    <w:rsid w:val="00CE728E"/>
    <w:rsid w:val="00D12C80"/>
    <w:rsid w:val="00D13F3F"/>
    <w:rsid w:val="00D1424A"/>
    <w:rsid w:val="00D162D2"/>
    <w:rsid w:val="00D23B9E"/>
    <w:rsid w:val="00D31483"/>
    <w:rsid w:val="00D340DA"/>
    <w:rsid w:val="00D346B6"/>
    <w:rsid w:val="00D36F01"/>
    <w:rsid w:val="00D42B59"/>
    <w:rsid w:val="00D45B21"/>
    <w:rsid w:val="00D4712F"/>
    <w:rsid w:val="00D51F02"/>
    <w:rsid w:val="00D529C3"/>
    <w:rsid w:val="00D60EC2"/>
    <w:rsid w:val="00D6667B"/>
    <w:rsid w:val="00D828FF"/>
    <w:rsid w:val="00D82F06"/>
    <w:rsid w:val="00D84329"/>
    <w:rsid w:val="00D91724"/>
    <w:rsid w:val="00D95695"/>
    <w:rsid w:val="00DA0266"/>
    <w:rsid w:val="00DA0BB6"/>
    <w:rsid w:val="00DA0F3E"/>
    <w:rsid w:val="00DA2009"/>
    <w:rsid w:val="00DA2376"/>
    <w:rsid w:val="00DA45C4"/>
    <w:rsid w:val="00DA50FF"/>
    <w:rsid w:val="00DA5799"/>
    <w:rsid w:val="00DB43EF"/>
    <w:rsid w:val="00DB78AD"/>
    <w:rsid w:val="00DC52DC"/>
    <w:rsid w:val="00DD2870"/>
    <w:rsid w:val="00DD2B57"/>
    <w:rsid w:val="00DD2D7B"/>
    <w:rsid w:val="00DD2DBE"/>
    <w:rsid w:val="00DD66DD"/>
    <w:rsid w:val="00DD6E8F"/>
    <w:rsid w:val="00DE5904"/>
    <w:rsid w:val="00DF4F83"/>
    <w:rsid w:val="00DF65E5"/>
    <w:rsid w:val="00E01B63"/>
    <w:rsid w:val="00E037BB"/>
    <w:rsid w:val="00E04DB1"/>
    <w:rsid w:val="00E1468C"/>
    <w:rsid w:val="00E147A8"/>
    <w:rsid w:val="00E354EF"/>
    <w:rsid w:val="00E3710F"/>
    <w:rsid w:val="00E37F8E"/>
    <w:rsid w:val="00E404B6"/>
    <w:rsid w:val="00E41863"/>
    <w:rsid w:val="00E44EC2"/>
    <w:rsid w:val="00E454F9"/>
    <w:rsid w:val="00E50B78"/>
    <w:rsid w:val="00E527B8"/>
    <w:rsid w:val="00E547D1"/>
    <w:rsid w:val="00E60727"/>
    <w:rsid w:val="00E638A1"/>
    <w:rsid w:val="00E65F97"/>
    <w:rsid w:val="00E66B3A"/>
    <w:rsid w:val="00E76553"/>
    <w:rsid w:val="00E81E55"/>
    <w:rsid w:val="00E93728"/>
    <w:rsid w:val="00EA6FCB"/>
    <w:rsid w:val="00EB16B9"/>
    <w:rsid w:val="00EB2F80"/>
    <w:rsid w:val="00EC15F6"/>
    <w:rsid w:val="00EC5C00"/>
    <w:rsid w:val="00EC672B"/>
    <w:rsid w:val="00ED13A1"/>
    <w:rsid w:val="00ED3756"/>
    <w:rsid w:val="00ED4478"/>
    <w:rsid w:val="00ED6FA0"/>
    <w:rsid w:val="00EE252C"/>
    <w:rsid w:val="00EE4CDC"/>
    <w:rsid w:val="00EE69F8"/>
    <w:rsid w:val="00EF33E6"/>
    <w:rsid w:val="00EF39DC"/>
    <w:rsid w:val="00F02CBE"/>
    <w:rsid w:val="00F0603A"/>
    <w:rsid w:val="00F10A61"/>
    <w:rsid w:val="00F1435E"/>
    <w:rsid w:val="00F15D75"/>
    <w:rsid w:val="00F1650B"/>
    <w:rsid w:val="00F26ED2"/>
    <w:rsid w:val="00F303BF"/>
    <w:rsid w:val="00F42D37"/>
    <w:rsid w:val="00F44EA4"/>
    <w:rsid w:val="00F46C2E"/>
    <w:rsid w:val="00F50DBE"/>
    <w:rsid w:val="00F621B0"/>
    <w:rsid w:val="00F63E59"/>
    <w:rsid w:val="00F654C3"/>
    <w:rsid w:val="00F71316"/>
    <w:rsid w:val="00F717DB"/>
    <w:rsid w:val="00F7438E"/>
    <w:rsid w:val="00F75196"/>
    <w:rsid w:val="00F8032B"/>
    <w:rsid w:val="00F911BE"/>
    <w:rsid w:val="00FA630E"/>
    <w:rsid w:val="00FA7EA5"/>
    <w:rsid w:val="00FB17A6"/>
    <w:rsid w:val="00FB48A5"/>
    <w:rsid w:val="00FC002D"/>
    <w:rsid w:val="00FC03F1"/>
    <w:rsid w:val="00FC1587"/>
    <w:rsid w:val="00FC15E8"/>
    <w:rsid w:val="00FC16B2"/>
    <w:rsid w:val="00FC500D"/>
    <w:rsid w:val="00FE1D6B"/>
    <w:rsid w:val="00FE209D"/>
    <w:rsid w:val="00FE30C7"/>
    <w:rsid w:val="00FF1B39"/>
    <w:rsid w:val="00FF4508"/>
    <w:rsid w:val="00FF4FA5"/>
    <w:rsid w:val="010511DA"/>
    <w:rsid w:val="011715BE"/>
    <w:rsid w:val="01B6F043"/>
    <w:rsid w:val="0275E877"/>
    <w:rsid w:val="0356F5D9"/>
    <w:rsid w:val="039F96BD"/>
    <w:rsid w:val="03D71EA3"/>
    <w:rsid w:val="041A725E"/>
    <w:rsid w:val="04658A06"/>
    <w:rsid w:val="04687565"/>
    <w:rsid w:val="05983A99"/>
    <w:rsid w:val="05BB9A2B"/>
    <w:rsid w:val="0746EC26"/>
    <w:rsid w:val="080D9DB9"/>
    <w:rsid w:val="084E64FA"/>
    <w:rsid w:val="08734434"/>
    <w:rsid w:val="0A1E5770"/>
    <w:rsid w:val="0A4C6CC6"/>
    <w:rsid w:val="0B7C8192"/>
    <w:rsid w:val="0C08B8BA"/>
    <w:rsid w:val="0D0A5E0E"/>
    <w:rsid w:val="0D904563"/>
    <w:rsid w:val="1058C343"/>
    <w:rsid w:val="111BCFB0"/>
    <w:rsid w:val="1157B4D5"/>
    <w:rsid w:val="147293F1"/>
    <w:rsid w:val="15B694E6"/>
    <w:rsid w:val="16455E73"/>
    <w:rsid w:val="167A6010"/>
    <w:rsid w:val="17BFE788"/>
    <w:rsid w:val="17F4ABCE"/>
    <w:rsid w:val="183A337B"/>
    <w:rsid w:val="18C56D7C"/>
    <w:rsid w:val="19857D0E"/>
    <w:rsid w:val="1A5379B2"/>
    <w:rsid w:val="1A55A40B"/>
    <w:rsid w:val="1AD7CBF7"/>
    <w:rsid w:val="1C6A5B32"/>
    <w:rsid w:val="1D54A446"/>
    <w:rsid w:val="1D61DE7A"/>
    <w:rsid w:val="1D78E487"/>
    <w:rsid w:val="1D7DA758"/>
    <w:rsid w:val="1E08694D"/>
    <w:rsid w:val="1FCDAEF1"/>
    <w:rsid w:val="20AA2181"/>
    <w:rsid w:val="21C0D166"/>
    <w:rsid w:val="223D297E"/>
    <w:rsid w:val="22641D31"/>
    <w:rsid w:val="239359A1"/>
    <w:rsid w:val="23BCCD16"/>
    <w:rsid w:val="23F14BF7"/>
    <w:rsid w:val="240D3917"/>
    <w:rsid w:val="2569A2F8"/>
    <w:rsid w:val="276D57EA"/>
    <w:rsid w:val="28958CF1"/>
    <w:rsid w:val="29172962"/>
    <w:rsid w:val="2920B21B"/>
    <w:rsid w:val="292C5FD5"/>
    <w:rsid w:val="2A78B880"/>
    <w:rsid w:val="2A866115"/>
    <w:rsid w:val="2BC1BF7D"/>
    <w:rsid w:val="2BF7A335"/>
    <w:rsid w:val="2C89EF35"/>
    <w:rsid w:val="2CA034D7"/>
    <w:rsid w:val="2CF89152"/>
    <w:rsid w:val="2D8F7762"/>
    <w:rsid w:val="2DA0B9B6"/>
    <w:rsid w:val="2DD20506"/>
    <w:rsid w:val="2E9E8600"/>
    <w:rsid w:val="2EE6516E"/>
    <w:rsid w:val="2F681FAE"/>
    <w:rsid w:val="2FAEFBDD"/>
    <w:rsid w:val="2FBFDB16"/>
    <w:rsid w:val="303489BA"/>
    <w:rsid w:val="3035E341"/>
    <w:rsid w:val="308C0884"/>
    <w:rsid w:val="30F92A37"/>
    <w:rsid w:val="3173B397"/>
    <w:rsid w:val="31F1E7CD"/>
    <w:rsid w:val="321B550D"/>
    <w:rsid w:val="32D25521"/>
    <w:rsid w:val="33B9A3EC"/>
    <w:rsid w:val="33CE1E0B"/>
    <w:rsid w:val="34676151"/>
    <w:rsid w:val="381E2C75"/>
    <w:rsid w:val="381E6C5D"/>
    <w:rsid w:val="3996036D"/>
    <w:rsid w:val="3A382B53"/>
    <w:rsid w:val="3AD4E763"/>
    <w:rsid w:val="3AE72515"/>
    <w:rsid w:val="3C1B15E7"/>
    <w:rsid w:val="3CA91FA2"/>
    <w:rsid w:val="3D030985"/>
    <w:rsid w:val="3E138C6C"/>
    <w:rsid w:val="3E772ED0"/>
    <w:rsid w:val="3EA9C609"/>
    <w:rsid w:val="3F379C74"/>
    <w:rsid w:val="3F48B61F"/>
    <w:rsid w:val="3F81CBD6"/>
    <w:rsid w:val="4163EC28"/>
    <w:rsid w:val="4181B624"/>
    <w:rsid w:val="42456C87"/>
    <w:rsid w:val="42703512"/>
    <w:rsid w:val="4287F220"/>
    <w:rsid w:val="42B458A5"/>
    <w:rsid w:val="434E5E81"/>
    <w:rsid w:val="445D47B4"/>
    <w:rsid w:val="44911419"/>
    <w:rsid w:val="44EA62B4"/>
    <w:rsid w:val="455E41E2"/>
    <w:rsid w:val="45A12FDA"/>
    <w:rsid w:val="45BAD54C"/>
    <w:rsid w:val="45F5C2E9"/>
    <w:rsid w:val="46DF6FD2"/>
    <w:rsid w:val="46E3196F"/>
    <w:rsid w:val="4828D606"/>
    <w:rsid w:val="48397AD0"/>
    <w:rsid w:val="48B88B77"/>
    <w:rsid w:val="48D05A6F"/>
    <w:rsid w:val="491CA01F"/>
    <w:rsid w:val="49E46EC3"/>
    <w:rsid w:val="4A5D3B8C"/>
    <w:rsid w:val="4AC5F28D"/>
    <w:rsid w:val="4C3A18D8"/>
    <w:rsid w:val="4D064360"/>
    <w:rsid w:val="4E54E33F"/>
    <w:rsid w:val="4E8D23FD"/>
    <w:rsid w:val="4F81BA6C"/>
    <w:rsid w:val="5024F903"/>
    <w:rsid w:val="50CC2459"/>
    <w:rsid w:val="519EE68D"/>
    <w:rsid w:val="523583A3"/>
    <w:rsid w:val="52462DD1"/>
    <w:rsid w:val="545A9A2E"/>
    <w:rsid w:val="54C5A822"/>
    <w:rsid w:val="56137AFD"/>
    <w:rsid w:val="5668683F"/>
    <w:rsid w:val="575477C1"/>
    <w:rsid w:val="58735CA1"/>
    <w:rsid w:val="59EC8ABC"/>
    <w:rsid w:val="59EF2EB9"/>
    <w:rsid w:val="5A227C41"/>
    <w:rsid w:val="5A605487"/>
    <w:rsid w:val="5B01F792"/>
    <w:rsid w:val="5B8B75CA"/>
    <w:rsid w:val="5BE94030"/>
    <w:rsid w:val="5C583D9B"/>
    <w:rsid w:val="5CC268BD"/>
    <w:rsid w:val="5E3DC8C6"/>
    <w:rsid w:val="5EBF712A"/>
    <w:rsid w:val="5ED01558"/>
    <w:rsid w:val="5ED57577"/>
    <w:rsid w:val="5ED80532"/>
    <w:rsid w:val="5ED8CAAF"/>
    <w:rsid w:val="5FB8CE7E"/>
    <w:rsid w:val="5FFAE8E1"/>
    <w:rsid w:val="60D52DA4"/>
    <w:rsid w:val="611B91DA"/>
    <w:rsid w:val="61A0FE6A"/>
    <w:rsid w:val="61BEA0A6"/>
    <w:rsid w:val="61D971EF"/>
    <w:rsid w:val="62B42A8E"/>
    <w:rsid w:val="63494402"/>
    <w:rsid w:val="640EB1A0"/>
    <w:rsid w:val="6460C08F"/>
    <w:rsid w:val="64EF0E2F"/>
    <w:rsid w:val="6607AE2D"/>
    <w:rsid w:val="66499916"/>
    <w:rsid w:val="66A82AFD"/>
    <w:rsid w:val="675C3F67"/>
    <w:rsid w:val="67AC3ECB"/>
    <w:rsid w:val="67DEED8D"/>
    <w:rsid w:val="68593D8B"/>
    <w:rsid w:val="6887710F"/>
    <w:rsid w:val="68A3D15E"/>
    <w:rsid w:val="68FDF268"/>
    <w:rsid w:val="69906F86"/>
    <w:rsid w:val="6B1F154F"/>
    <w:rsid w:val="6B635CB2"/>
    <w:rsid w:val="6B818D53"/>
    <w:rsid w:val="6C2D627E"/>
    <w:rsid w:val="6C78143F"/>
    <w:rsid w:val="6CB40148"/>
    <w:rsid w:val="6CCE3D54"/>
    <w:rsid w:val="6D017E2E"/>
    <w:rsid w:val="6D07494A"/>
    <w:rsid w:val="6D19E41E"/>
    <w:rsid w:val="6E27E3F3"/>
    <w:rsid w:val="6F4718B5"/>
    <w:rsid w:val="6F966B8A"/>
    <w:rsid w:val="6FB5B3A7"/>
    <w:rsid w:val="7093EF61"/>
    <w:rsid w:val="71C97849"/>
    <w:rsid w:val="71CA2604"/>
    <w:rsid w:val="7270BC2C"/>
    <w:rsid w:val="72D95B83"/>
    <w:rsid w:val="73FF7549"/>
    <w:rsid w:val="743FB47B"/>
    <w:rsid w:val="7442E120"/>
    <w:rsid w:val="74637C28"/>
    <w:rsid w:val="74879677"/>
    <w:rsid w:val="758FA40B"/>
    <w:rsid w:val="75EB375B"/>
    <w:rsid w:val="76AEBB41"/>
    <w:rsid w:val="76D95B0B"/>
    <w:rsid w:val="77353122"/>
    <w:rsid w:val="78AD87B1"/>
    <w:rsid w:val="797BA5CE"/>
    <w:rsid w:val="798608E0"/>
    <w:rsid w:val="798B1420"/>
    <w:rsid w:val="79AC2D38"/>
    <w:rsid w:val="79FE6E86"/>
    <w:rsid w:val="7A0B822F"/>
    <w:rsid w:val="7A137086"/>
    <w:rsid w:val="7ADD3869"/>
    <w:rsid w:val="7B0164AA"/>
    <w:rsid w:val="7B946AD0"/>
    <w:rsid w:val="7B960DEB"/>
    <w:rsid w:val="7D17F183"/>
    <w:rsid w:val="7DDC5CA2"/>
    <w:rsid w:val="7FEA2A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A7CF"/>
  <w15:chartTrackingRefBased/>
  <w15:docId w15:val="{7269862A-01D5-488D-A246-97777A1D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6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6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6F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6F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6F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6F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6F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6F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6F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6F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6F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6F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6F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6F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6F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6F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6F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6FCB"/>
    <w:rPr>
      <w:rFonts w:eastAsiaTheme="majorEastAsia" w:cstheme="majorBidi"/>
      <w:color w:val="272727" w:themeColor="text1" w:themeTint="D8"/>
    </w:rPr>
  </w:style>
  <w:style w:type="paragraph" w:styleId="Titel">
    <w:name w:val="Title"/>
    <w:basedOn w:val="Standaard"/>
    <w:next w:val="Standaard"/>
    <w:link w:val="TitelChar"/>
    <w:uiPriority w:val="10"/>
    <w:qFormat/>
    <w:rsid w:val="00EA6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6F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6F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6F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6F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6FCB"/>
    <w:rPr>
      <w:i/>
      <w:iCs/>
      <w:color w:val="404040" w:themeColor="text1" w:themeTint="BF"/>
    </w:rPr>
  </w:style>
  <w:style w:type="paragraph" w:styleId="Lijstalinea">
    <w:name w:val="List Paragraph"/>
    <w:basedOn w:val="Standaard"/>
    <w:uiPriority w:val="34"/>
    <w:qFormat/>
    <w:rsid w:val="00EA6FCB"/>
    <w:pPr>
      <w:ind w:left="720"/>
      <w:contextualSpacing/>
    </w:pPr>
  </w:style>
  <w:style w:type="character" w:styleId="Intensievebenadrukking">
    <w:name w:val="Intense Emphasis"/>
    <w:basedOn w:val="Standaardalinea-lettertype"/>
    <w:uiPriority w:val="21"/>
    <w:qFormat/>
    <w:rsid w:val="00EA6FCB"/>
    <w:rPr>
      <w:i/>
      <w:iCs/>
      <w:color w:val="0F4761" w:themeColor="accent1" w:themeShade="BF"/>
    </w:rPr>
  </w:style>
  <w:style w:type="paragraph" w:styleId="Duidelijkcitaat">
    <w:name w:val="Intense Quote"/>
    <w:basedOn w:val="Standaard"/>
    <w:next w:val="Standaard"/>
    <w:link w:val="DuidelijkcitaatChar"/>
    <w:uiPriority w:val="30"/>
    <w:qFormat/>
    <w:rsid w:val="00EA6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6FCB"/>
    <w:rPr>
      <w:i/>
      <w:iCs/>
      <w:color w:val="0F4761" w:themeColor="accent1" w:themeShade="BF"/>
    </w:rPr>
  </w:style>
  <w:style w:type="character" w:styleId="Intensieveverwijzing">
    <w:name w:val="Intense Reference"/>
    <w:basedOn w:val="Standaardalinea-lettertype"/>
    <w:uiPriority w:val="32"/>
    <w:qFormat/>
    <w:rsid w:val="00EA6FCB"/>
    <w:rPr>
      <w:b/>
      <w:bCs/>
      <w:smallCaps/>
      <w:color w:val="0F4761" w:themeColor="accent1" w:themeShade="BF"/>
      <w:spacing w:val="5"/>
    </w:rPr>
  </w:style>
  <w:style w:type="table" w:styleId="Tabelraster">
    <w:name w:val="Table Grid"/>
    <w:basedOn w:val="Standaardtabel"/>
    <w:uiPriority w:val="39"/>
    <w:rsid w:val="0092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25E"/>
    <w:pPr>
      <w:autoSpaceDE w:val="0"/>
      <w:autoSpaceDN w:val="0"/>
      <w:adjustRightInd w:val="0"/>
      <w:spacing w:after="0" w:line="240" w:lineRule="auto"/>
    </w:pPr>
    <w:rPr>
      <w:rFonts w:ascii="Verdana" w:hAnsi="Verdana" w:cs="Verdana"/>
      <w:color w:val="000000"/>
      <w:kern w:val="0"/>
      <w:sz w:val="24"/>
      <w:szCs w:val="24"/>
    </w:rPr>
  </w:style>
  <w:style w:type="character" w:styleId="Verwijzingopmerking">
    <w:name w:val="annotation reference"/>
    <w:basedOn w:val="Standaardalinea-lettertype"/>
    <w:uiPriority w:val="99"/>
    <w:semiHidden/>
    <w:unhideWhenUsed/>
    <w:rsid w:val="00490751"/>
    <w:rPr>
      <w:sz w:val="16"/>
      <w:szCs w:val="16"/>
    </w:rPr>
  </w:style>
  <w:style w:type="paragraph" w:styleId="Tekstopmerking">
    <w:name w:val="annotation text"/>
    <w:basedOn w:val="Standaard"/>
    <w:link w:val="TekstopmerkingChar"/>
    <w:uiPriority w:val="99"/>
    <w:unhideWhenUsed/>
    <w:rsid w:val="00490751"/>
    <w:pPr>
      <w:spacing w:line="240" w:lineRule="auto"/>
    </w:pPr>
    <w:rPr>
      <w:sz w:val="20"/>
      <w:szCs w:val="20"/>
    </w:rPr>
  </w:style>
  <w:style w:type="character" w:customStyle="1" w:styleId="TekstopmerkingChar">
    <w:name w:val="Tekst opmerking Char"/>
    <w:basedOn w:val="Standaardalinea-lettertype"/>
    <w:link w:val="Tekstopmerking"/>
    <w:uiPriority w:val="99"/>
    <w:rsid w:val="00490751"/>
    <w:rPr>
      <w:sz w:val="20"/>
      <w:szCs w:val="20"/>
    </w:rPr>
  </w:style>
  <w:style w:type="paragraph" w:styleId="Onderwerpvanopmerking">
    <w:name w:val="annotation subject"/>
    <w:basedOn w:val="Tekstopmerking"/>
    <w:next w:val="Tekstopmerking"/>
    <w:link w:val="OnderwerpvanopmerkingChar"/>
    <w:uiPriority w:val="99"/>
    <w:semiHidden/>
    <w:unhideWhenUsed/>
    <w:rsid w:val="00490751"/>
    <w:rPr>
      <w:b/>
      <w:bCs/>
    </w:rPr>
  </w:style>
  <w:style w:type="character" w:customStyle="1" w:styleId="OnderwerpvanopmerkingChar">
    <w:name w:val="Onderwerp van opmerking Char"/>
    <w:basedOn w:val="TekstopmerkingChar"/>
    <w:link w:val="Onderwerpvanopmerking"/>
    <w:uiPriority w:val="99"/>
    <w:semiHidden/>
    <w:rsid w:val="00490751"/>
    <w:rPr>
      <w:b/>
      <w:bCs/>
      <w:sz w:val="20"/>
      <w:szCs w:val="20"/>
    </w:rPr>
  </w:style>
  <w:style w:type="paragraph" w:styleId="Revisie">
    <w:name w:val="Revision"/>
    <w:hidden/>
    <w:uiPriority w:val="99"/>
    <w:semiHidden/>
    <w:rsid w:val="00490751"/>
    <w:pPr>
      <w:spacing w:after="0" w:line="240" w:lineRule="auto"/>
    </w:pPr>
  </w:style>
  <w:style w:type="paragraph" w:styleId="Koptekst">
    <w:name w:val="header"/>
    <w:basedOn w:val="Standaard"/>
    <w:link w:val="KoptekstChar"/>
    <w:uiPriority w:val="99"/>
    <w:unhideWhenUsed/>
    <w:rsid w:val="004571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718D"/>
  </w:style>
  <w:style w:type="paragraph" w:styleId="Voettekst">
    <w:name w:val="footer"/>
    <w:basedOn w:val="Standaard"/>
    <w:link w:val="VoettekstChar"/>
    <w:uiPriority w:val="99"/>
    <w:unhideWhenUsed/>
    <w:rsid w:val="004571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718D"/>
  </w:style>
  <w:style w:type="paragraph" w:styleId="Voetnoottekst">
    <w:name w:val="footnote text"/>
    <w:basedOn w:val="Standaard"/>
    <w:link w:val="VoetnoottekstChar"/>
    <w:uiPriority w:val="99"/>
    <w:semiHidden/>
    <w:unhideWhenUsed/>
    <w:rsid w:val="00B31C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1CB8"/>
    <w:rPr>
      <w:sz w:val="20"/>
      <w:szCs w:val="20"/>
    </w:rPr>
  </w:style>
  <w:style w:type="character" w:styleId="Voetnootmarkering">
    <w:name w:val="footnote reference"/>
    <w:basedOn w:val="Standaardalinea-lettertype"/>
    <w:uiPriority w:val="99"/>
    <w:semiHidden/>
    <w:unhideWhenUsed/>
    <w:rsid w:val="00B31CB8"/>
    <w:rPr>
      <w:vertAlign w:val="superscript"/>
    </w:rPr>
  </w:style>
  <w:style w:type="paragraph" w:styleId="Geenafstand">
    <w:name w:val="No Spacing"/>
    <w:uiPriority w:val="1"/>
    <w:qFormat/>
    <w:rsid w:val="7B0164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7794">
      <w:bodyDiv w:val="1"/>
      <w:marLeft w:val="0"/>
      <w:marRight w:val="0"/>
      <w:marTop w:val="0"/>
      <w:marBottom w:val="0"/>
      <w:divBdr>
        <w:top w:val="none" w:sz="0" w:space="0" w:color="auto"/>
        <w:left w:val="none" w:sz="0" w:space="0" w:color="auto"/>
        <w:bottom w:val="none" w:sz="0" w:space="0" w:color="auto"/>
        <w:right w:val="none" w:sz="0" w:space="0" w:color="auto"/>
      </w:divBdr>
    </w:div>
    <w:div w:id="21003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55ED6-56D9-495C-8C28-75CF14C688B5}">
  <ds:schemaRefs>
    <ds:schemaRef ds:uri="http://schemas.microsoft.com/sharepoint/v3/contenttype/forms"/>
  </ds:schemaRefs>
</ds:datastoreItem>
</file>

<file path=customXml/itemProps2.xml><?xml version="1.0" encoding="utf-8"?>
<ds:datastoreItem xmlns:ds="http://schemas.openxmlformats.org/officeDocument/2006/customXml" ds:itemID="{D9930750-06F9-4173-8588-B7271424B5F7}">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customXml/itemProps3.xml><?xml version="1.0" encoding="utf-8"?>
<ds:datastoreItem xmlns:ds="http://schemas.openxmlformats.org/officeDocument/2006/customXml" ds:itemID="{82C061A3-09DB-4A6D-A460-3D6AD9609EAB}">
  <ds:schemaRefs>
    <ds:schemaRef ds:uri="http://schemas.openxmlformats.org/officeDocument/2006/bibliography"/>
  </ds:schemaRefs>
</ds:datastoreItem>
</file>

<file path=customXml/itemProps4.xml><?xml version="1.0" encoding="utf-8"?>
<ds:datastoreItem xmlns:ds="http://schemas.openxmlformats.org/officeDocument/2006/customXml" ds:itemID="{9C25F390-BB02-4BF8-A485-1C05C19ABCC6}"/>
</file>

<file path=docProps/app.xml><?xml version="1.0" encoding="utf-8"?>
<Properties xmlns="http://schemas.openxmlformats.org/officeDocument/2006/extended-properties" xmlns:vt="http://schemas.openxmlformats.org/officeDocument/2006/docPropsVTypes">
  <Template>Normal</Template>
  <TotalTime>1</TotalTime>
  <Pages>10</Pages>
  <Words>3370</Words>
  <Characters>18541</Characters>
  <Application>Microsoft Office Word</Application>
  <DocSecurity>0</DocSecurity>
  <Lines>154</Lines>
  <Paragraphs>43</Paragraphs>
  <ScaleCrop>false</ScaleCrop>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van den Ham</dc:creator>
  <cp:keywords/>
  <dc:description/>
  <cp:lastModifiedBy>Diana van der Kolk</cp:lastModifiedBy>
  <cp:revision>4</cp:revision>
  <dcterms:created xsi:type="dcterms:W3CDTF">2025-04-02T16:38:00Z</dcterms:created>
  <dcterms:modified xsi:type="dcterms:W3CDTF">2025-04-03T15:15:00Z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